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color w:val="0070C0"/>
          <w:lang w:val="en-US" w:eastAsia="zh-CN"/>
        </w:rPr>
      </w:pPr>
      <w:r>
        <w:rPr>
          <w:rFonts w:hint="eastAsia"/>
          <w:color w:val="0070C0"/>
          <w:lang w:val="en-US" w:eastAsia="zh-CN"/>
        </w:rPr>
        <w:t>附件1-5（供应商提交的报价材料需包含附件1、2、3、5</w:t>
      </w:r>
      <w:r>
        <w:rPr>
          <w:rFonts w:hint="eastAsia"/>
          <w:color w:val="0070C0"/>
          <w:highlight w:val="yellow"/>
          <w:lang w:val="en-US" w:eastAsia="zh-CN"/>
        </w:rPr>
        <w:t>纸质</w:t>
      </w:r>
      <w:r>
        <w:rPr>
          <w:rFonts w:hint="eastAsia"/>
          <w:color w:val="0070C0"/>
          <w:lang w:val="en-US" w:eastAsia="zh-CN"/>
        </w:rPr>
        <w:t>签字盖章材料及</w:t>
      </w:r>
      <w:r>
        <w:rPr>
          <w:rFonts w:hint="eastAsia"/>
          <w:color w:val="0070C0"/>
          <w:highlight w:val="yellow"/>
          <w:lang w:val="en-US" w:eastAsia="zh-CN"/>
        </w:rPr>
        <w:t>PDF格式</w:t>
      </w:r>
      <w:r>
        <w:rPr>
          <w:rFonts w:hint="eastAsia"/>
          <w:color w:val="0070C0"/>
          <w:lang w:val="en-US" w:eastAsia="zh-CN"/>
        </w:rPr>
        <w:t>扫描件U盘存储，一并放入文件袋内</w:t>
      </w:r>
      <w:r>
        <w:rPr>
          <w:rFonts w:hint="eastAsia"/>
          <w:color w:val="0070C0"/>
          <w:highlight w:val="yellow"/>
          <w:lang w:val="en-US" w:eastAsia="zh-CN"/>
        </w:rPr>
        <w:t>密封</w:t>
      </w:r>
      <w:r>
        <w:rPr>
          <w:rFonts w:hint="eastAsia"/>
          <w:color w:val="0070C0"/>
          <w:lang w:val="en-US" w:eastAsia="zh-CN"/>
        </w:rPr>
        <w:t>提交，封面注明项目名称及供应商名称）</w:t>
      </w:r>
    </w:p>
    <w:p>
      <w:pPr>
        <w:numPr>
          <w:ilvl w:val="0"/>
          <w:numId w:val="0"/>
        </w:numPr>
        <w:rPr>
          <w:rFonts w:hint="eastAsia" w:cstheme="minorBidi"/>
          <w:color w:val="0070C0"/>
          <w:kern w:val="2"/>
          <w:sz w:val="21"/>
          <w:szCs w:val="24"/>
          <w:lang w:val="en-US" w:eastAsia="zh-CN" w:bidi="ar-SA"/>
        </w:rPr>
      </w:pPr>
    </w:p>
    <w:p>
      <w:pPr>
        <w:numPr>
          <w:ilvl w:val="0"/>
          <w:numId w:val="0"/>
        </w:numPr>
        <w:rPr>
          <w:rFonts w:hint="default"/>
          <w:color w:val="FF0000"/>
          <w:lang w:val="en-US" w:eastAsia="zh-CN"/>
        </w:rPr>
      </w:pPr>
      <w:r>
        <w:rPr>
          <w:rFonts w:hint="eastAsia" w:cstheme="minorBidi"/>
          <w:color w:val="FF0000"/>
          <w:kern w:val="2"/>
          <w:sz w:val="21"/>
          <w:szCs w:val="24"/>
          <w:lang w:val="en-US" w:eastAsia="zh-CN" w:bidi="ar-SA"/>
        </w:rPr>
        <w:t>附件1：</w:t>
      </w:r>
      <w:r>
        <w:rPr>
          <w:rFonts w:hint="eastAsia"/>
          <w:color w:val="FF0000"/>
          <w:lang w:val="en-US" w:eastAsia="zh-CN"/>
        </w:rPr>
        <w:t>报价单</w:t>
      </w:r>
    </w:p>
    <w:p/>
    <w:p/>
    <w:p>
      <w:pPr>
        <w:jc w:val="center"/>
        <w:rPr>
          <w:sz w:val="44"/>
          <w:szCs w:val="44"/>
        </w:rPr>
      </w:pPr>
      <w:r>
        <w:rPr>
          <w:rFonts w:hint="eastAsia"/>
          <w:sz w:val="44"/>
          <w:szCs w:val="44"/>
          <w:lang w:val="en-US" w:eastAsia="zh-CN"/>
        </w:rPr>
        <w:t>潍坊市高新康复医院</w:t>
      </w:r>
    </w:p>
    <w:p>
      <w:pPr>
        <w:jc w:val="center"/>
        <w:rPr>
          <w:sz w:val="44"/>
          <w:szCs w:val="44"/>
        </w:rPr>
      </w:pPr>
      <w:r>
        <w:rPr>
          <w:rFonts w:hint="eastAsia"/>
          <w:sz w:val="44"/>
          <w:szCs w:val="44"/>
        </w:rPr>
        <w:t>询价报价单</w:t>
      </w:r>
    </w:p>
    <w:p>
      <w:pPr>
        <w:jc w:val="left"/>
        <w:rPr>
          <w:rFonts w:hint="default" w:eastAsiaTheme="minorEastAsia"/>
          <w:sz w:val="28"/>
          <w:szCs w:val="28"/>
          <w:lang w:val="en-US" w:eastAsia="zh-CN"/>
        </w:rPr>
      </w:pPr>
      <w:r>
        <w:rPr>
          <w:rFonts w:hint="eastAsia"/>
          <w:sz w:val="28"/>
          <w:szCs w:val="28"/>
        </w:rPr>
        <w:t>一、</w:t>
      </w:r>
      <w:r>
        <w:rPr>
          <w:rFonts w:hint="eastAsia"/>
          <w:color w:val="FF0000"/>
          <w:sz w:val="21"/>
          <w:szCs w:val="21"/>
          <w:lang w:val="en-US" w:eastAsia="zh-CN"/>
        </w:rPr>
        <w:t>产品名称以注册证或一类医疗器械备案凭证为准</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0"/>
        <w:gridCol w:w="1845"/>
        <w:gridCol w:w="1380"/>
        <w:gridCol w:w="660"/>
        <w:gridCol w:w="855"/>
        <w:gridCol w:w="900"/>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6" w:type="dxa"/>
          </w:tcPr>
          <w:p>
            <w:pPr>
              <w:keepNext w:val="0"/>
              <w:keepLines w:val="0"/>
              <w:widowControl/>
              <w:suppressLineNumbers w:val="0"/>
              <w:jc w:val="center"/>
              <w:textAlignment w:val="center"/>
              <w:rPr>
                <w:rFonts w:hint="eastAsia" w:eastAsiaTheme="minorEastAsia"/>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序号</w:t>
            </w:r>
          </w:p>
        </w:tc>
        <w:tc>
          <w:tcPr>
            <w:tcW w:w="1230" w:type="dxa"/>
            <w:vAlign w:val="center"/>
          </w:tcPr>
          <w:p>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产品名称</w:t>
            </w:r>
          </w:p>
        </w:tc>
        <w:tc>
          <w:tcPr>
            <w:tcW w:w="1845" w:type="dxa"/>
            <w:vAlign w:val="center"/>
          </w:tcPr>
          <w:p>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生产厂家</w:t>
            </w:r>
          </w:p>
        </w:tc>
        <w:tc>
          <w:tcPr>
            <w:tcW w:w="1380" w:type="dxa"/>
            <w:vAlign w:val="center"/>
          </w:tcPr>
          <w:p>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规格型号</w:t>
            </w:r>
          </w:p>
        </w:tc>
        <w:tc>
          <w:tcPr>
            <w:tcW w:w="660" w:type="dxa"/>
            <w:vAlign w:val="center"/>
          </w:tcPr>
          <w:p>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数量</w:t>
            </w:r>
          </w:p>
        </w:tc>
        <w:tc>
          <w:tcPr>
            <w:tcW w:w="855" w:type="dxa"/>
            <w:vAlign w:val="center"/>
          </w:tcPr>
          <w:p>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单价（元）</w:t>
            </w:r>
          </w:p>
        </w:tc>
        <w:tc>
          <w:tcPr>
            <w:tcW w:w="900" w:type="dxa"/>
            <w:vAlign w:val="center"/>
          </w:tcPr>
          <w:p>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合计（元）</w:t>
            </w:r>
          </w:p>
        </w:tc>
        <w:tc>
          <w:tcPr>
            <w:tcW w:w="1156"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6" w:type="dxa"/>
          </w:tcPr>
          <w:p>
            <w:pPr>
              <w:jc w:val="center"/>
              <w:rPr>
                <w:rFonts w:hint="eastAsia" w:eastAsiaTheme="minorEastAsia"/>
                <w:sz w:val="21"/>
                <w:szCs w:val="21"/>
                <w:vertAlign w:val="baseline"/>
                <w:lang w:val="en-US" w:eastAsia="zh-CN"/>
              </w:rPr>
            </w:pPr>
            <w:r>
              <w:rPr>
                <w:rFonts w:hint="eastAsia"/>
                <w:sz w:val="21"/>
                <w:szCs w:val="21"/>
                <w:vertAlign w:val="baseline"/>
                <w:lang w:val="en-US" w:eastAsia="zh-CN"/>
              </w:rPr>
              <w:t>1</w:t>
            </w:r>
          </w:p>
        </w:tc>
        <w:tc>
          <w:tcPr>
            <w:tcW w:w="1230" w:type="dxa"/>
            <w:vAlign w:val="center"/>
          </w:tcPr>
          <w:p>
            <w:pPr>
              <w:keepNext w:val="0"/>
              <w:keepLines w:val="0"/>
              <w:widowControl/>
              <w:suppressLineNumbers w:val="0"/>
              <w:jc w:val="center"/>
              <w:textAlignment w:val="center"/>
              <w:rPr>
                <w:rFonts w:hint="eastAsia"/>
                <w:sz w:val="21"/>
                <w:szCs w:val="21"/>
                <w:vertAlign w:val="baseline"/>
              </w:rPr>
            </w:pPr>
          </w:p>
        </w:tc>
        <w:tc>
          <w:tcPr>
            <w:tcW w:w="1845" w:type="dxa"/>
            <w:vAlign w:val="center"/>
          </w:tcPr>
          <w:p>
            <w:pPr>
              <w:keepNext w:val="0"/>
              <w:keepLines w:val="0"/>
              <w:widowControl/>
              <w:suppressLineNumbers w:val="0"/>
              <w:jc w:val="center"/>
              <w:textAlignment w:val="center"/>
              <w:rPr>
                <w:rFonts w:hint="eastAsia"/>
                <w:sz w:val="21"/>
                <w:szCs w:val="21"/>
                <w:vertAlign w:val="baseline"/>
              </w:rPr>
            </w:pPr>
          </w:p>
        </w:tc>
        <w:tc>
          <w:tcPr>
            <w:tcW w:w="1380" w:type="dxa"/>
            <w:vAlign w:val="center"/>
          </w:tcPr>
          <w:p>
            <w:pPr>
              <w:keepNext w:val="0"/>
              <w:keepLines w:val="0"/>
              <w:widowControl/>
              <w:suppressLineNumbers w:val="0"/>
              <w:jc w:val="center"/>
              <w:textAlignment w:val="center"/>
              <w:rPr>
                <w:rFonts w:hint="eastAsia"/>
                <w:sz w:val="21"/>
                <w:szCs w:val="21"/>
                <w:vertAlign w:val="baseline"/>
              </w:rPr>
            </w:pPr>
          </w:p>
        </w:tc>
        <w:tc>
          <w:tcPr>
            <w:tcW w:w="660" w:type="dxa"/>
            <w:vAlign w:val="center"/>
          </w:tcPr>
          <w:p>
            <w:pPr>
              <w:keepNext w:val="0"/>
              <w:keepLines w:val="0"/>
              <w:widowControl/>
              <w:suppressLineNumbers w:val="0"/>
              <w:jc w:val="center"/>
              <w:textAlignment w:val="center"/>
              <w:rPr>
                <w:rFonts w:hint="eastAsia"/>
                <w:sz w:val="21"/>
                <w:szCs w:val="21"/>
                <w:vertAlign w:val="baseline"/>
              </w:rPr>
            </w:pPr>
          </w:p>
        </w:tc>
        <w:tc>
          <w:tcPr>
            <w:tcW w:w="855" w:type="dxa"/>
            <w:vAlign w:val="center"/>
          </w:tcPr>
          <w:p>
            <w:pPr>
              <w:keepNext w:val="0"/>
              <w:keepLines w:val="0"/>
              <w:widowControl/>
              <w:suppressLineNumbers w:val="0"/>
              <w:jc w:val="center"/>
              <w:textAlignment w:val="center"/>
              <w:rPr>
                <w:rFonts w:hint="eastAsia"/>
                <w:sz w:val="21"/>
                <w:szCs w:val="21"/>
                <w:vertAlign w:val="baseline"/>
              </w:rPr>
            </w:pPr>
          </w:p>
        </w:tc>
        <w:tc>
          <w:tcPr>
            <w:tcW w:w="900" w:type="dxa"/>
            <w:vAlign w:val="center"/>
          </w:tcPr>
          <w:p>
            <w:pPr>
              <w:keepNext w:val="0"/>
              <w:keepLines w:val="0"/>
              <w:widowControl/>
              <w:suppressLineNumbers w:val="0"/>
              <w:jc w:val="center"/>
              <w:textAlignment w:val="center"/>
              <w:rPr>
                <w:rFonts w:hint="eastAsia"/>
                <w:sz w:val="21"/>
                <w:szCs w:val="21"/>
                <w:vertAlign w:val="baseline"/>
              </w:rPr>
            </w:pPr>
          </w:p>
        </w:tc>
        <w:tc>
          <w:tcPr>
            <w:tcW w:w="1156" w:type="dxa"/>
            <w:vAlign w:val="center"/>
          </w:tcPr>
          <w:p>
            <w:pPr>
              <w:keepNext w:val="0"/>
              <w:keepLines w:val="0"/>
              <w:widowControl/>
              <w:suppressLineNumbers w:val="0"/>
              <w:jc w:val="center"/>
              <w:textAlignment w:val="center"/>
              <w:rPr>
                <w:rFonts w:hint="eastAsia"/>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6" w:type="dxa"/>
          </w:tcPr>
          <w:p>
            <w:pPr>
              <w:jc w:val="center"/>
              <w:rPr>
                <w:rFonts w:hint="default"/>
                <w:sz w:val="21"/>
                <w:szCs w:val="21"/>
                <w:vertAlign w:val="baseline"/>
                <w:lang w:val="en-US" w:eastAsia="zh-CN"/>
              </w:rPr>
            </w:pPr>
            <w:r>
              <w:rPr>
                <w:rFonts w:hint="eastAsia"/>
                <w:sz w:val="21"/>
                <w:szCs w:val="21"/>
                <w:vertAlign w:val="baseline"/>
                <w:lang w:val="en-US" w:eastAsia="zh-CN"/>
              </w:rPr>
              <w:t>2</w:t>
            </w:r>
          </w:p>
        </w:tc>
        <w:tc>
          <w:tcPr>
            <w:tcW w:w="1230" w:type="dxa"/>
            <w:vAlign w:val="center"/>
          </w:tcPr>
          <w:p>
            <w:pPr>
              <w:keepNext w:val="0"/>
              <w:keepLines w:val="0"/>
              <w:widowControl/>
              <w:suppressLineNumbers w:val="0"/>
              <w:jc w:val="center"/>
              <w:textAlignment w:val="center"/>
              <w:rPr>
                <w:rFonts w:hint="eastAsia"/>
                <w:sz w:val="21"/>
                <w:szCs w:val="21"/>
                <w:vertAlign w:val="baseline"/>
              </w:rPr>
            </w:pPr>
          </w:p>
        </w:tc>
        <w:tc>
          <w:tcPr>
            <w:tcW w:w="1845" w:type="dxa"/>
            <w:vAlign w:val="center"/>
          </w:tcPr>
          <w:p>
            <w:pPr>
              <w:keepNext w:val="0"/>
              <w:keepLines w:val="0"/>
              <w:widowControl/>
              <w:suppressLineNumbers w:val="0"/>
              <w:jc w:val="center"/>
              <w:textAlignment w:val="center"/>
              <w:rPr>
                <w:rFonts w:hint="eastAsia"/>
                <w:sz w:val="21"/>
                <w:szCs w:val="21"/>
                <w:vertAlign w:val="baseline"/>
              </w:rPr>
            </w:pPr>
          </w:p>
        </w:tc>
        <w:tc>
          <w:tcPr>
            <w:tcW w:w="1380" w:type="dxa"/>
            <w:vAlign w:val="center"/>
          </w:tcPr>
          <w:p>
            <w:pPr>
              <w:keepNext w:val="0"/>
              <w:keepLines w:val="0"/>
              <w:widowControl/>
              <w:suppressLineNumbers w:val="0"/>
              <w:jc w:val="center"/>
              <w:textAlignment w:val="center"/>
              <w:rPr>
                <w:rFonts w:hint="eastAsia"/>
                <w:sz w:val="21"/>
                <w:szCs w:val="21"/>
                <w:vertAlign w:val="baseline"/>
              </w:rPr>
            </w:pPr>
          </w:p>
        </w:tc>
        <w:tc>
          <w:tcPr>
            <w:tcW w:w="660" w:type="dxa"/>
            <w:vAlign w:val="center"/>
          </w:tcPr>
          <w:p>
            <w:pPr>
              <w:keepNext w:val="0"/>
              <w:keepLines w:val="0"/>
              <w:widowControl/>
              <w:suppressLineNumbers w:val="0"/>
              <w:jc w:val="center"/>
              <w:textAlignment w:val="center"/>
              <w:rPr>
                <w:rFonts w:hint="eastAsia"/>
                <w:sz w:val="21"/>
                <w:szCs w:val="21"/>
                <w:vertAlign w:val="baseline"/>
              </w:rPr>
            </w:pPr>
          </w:p>
        </w:tc>
        <w:tc>
          <w:tcPr>
            <w:tcW w:w="855" w:type="dxa"/>
            <w:vAlign w:val="center"/>
          </w:tcPr>
          <w:p>
            <w:pPr>
              <w:keepNext w:val="0"/>
              <w:keepLines w:val="0"/>
              <w:widowControl/>
              <w:suppressLineNumbers w:val="0"/>
              <w:jc w:val="center"/>
              <w:textAlignment w:val="center"/>
              <w:rPr>
                <w:rFonts w:hint="eastAsia"/>
                <w:sz w:val="21"/>
                <w:szCs w:val="21"/>
                <w:vertAlign w:val="baseline"/>
              </w:rPr>
            </w:pPr>
          </w:p>
        </w:tc>
        <w:tc>
          <w:tcPr>
            <w:tcW w:w="900" w:type="dxa"/>
            <w:vAlign w:val="center"/>
          </w:tcPr>
          <w:p>
            <w:pPr>
              <w:keepNext w:val="0"/>
              <w:keepLines w:val="0"/>
              <w:widowControl/>
              <w:suppressLineNumbers w:val="0"/>
              <w:jc w:val="center"/>
              <w:textAlignment w:val="center"/>
              <w:rPr>
                <w:rFonts w:hint="eastAsia"/>
                <w:sz w:val="21"/>
                <w:szCs w:val="21"/>
                <w:vertAlign w:val="baseline"/>
              </w:rPr>
            </w:pPr>
          </w:p>
        </w:tc>
        <w:tc>
          <w:tcPr>
            <w:tcW w:w="1156" w:type="dxa"/>
            <w:vAlign w:val="center"/>
          </w:tcPr>
          <w:p>
            <w:pPr>
              <w:keepNext w:val="0"/>
              <w:keepLines w:val="0"/>
              <w:widowControl/>
              <w:suppressLineNumbers w:val="0"/>
              <w:jc w:val="center"/>
              <w:textAlignment w:val="center"/>
              <w:rPr>
                <w:rFonts w:hint="eastAsia"/>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6" w:type="dxa"/>
          </w:tcPr>
          <w:p>
            <w:pPr>
              <w:jc w:val="center"/>
              <w:rPr>
                <w:rFonts w:hint="default"/>
                <w:sz w:val="21"/>
                <w:szCs w:val="21"/>
                <w:vertAlign w:val="baseline"/>
                <w:lang w:val="en-US" w:eastAsia="zh-CN"/>
              </w:rPr>
            </w:pPr>
            <w:r>
              <w:rPr>
                <w:rFonts w:hint="eastAsia"/>
                <w:sz w:val="21"/>
                <w:szCs w:val="21"/>
                <w:vertAlign w:val="baseline"/>
                <w:lang w:val="en-US" w:eastAsia="zh-CN"/>
              </w:rPr>
              <w:t>3</w:t>
            </w:r>
          </w:p>
        </w:tc>
        <w:tc>
          <w:tcPr>
            <w:tcW w:w="1230" w:type="dxa"/>
            <w:vAlign w:val="center"/>
          </w:tcPr>
          <w:p>
            <w:pPr>
              <w:keepNext w:val="0"/>
              <w:keepLines w:val="0"/>
              <w:widowControl/>
              <w:suppressLineNumbers w:val="0"/>
              <w:jc w:val="center"/>
              <w:textAlignment w:val="center"/>
              <w:rPr>
                <w:rFonts w:hint="eastAsia"/>
                <w:sz w:val="21"/>
                <w:szCs w:val="21"/>
                <w:vertAlign w:val="baseline"/>
              </w:rPr>
            </w:pPr>
          </w:p>
        </w:tc>
        <w:tc>
          <w:tcPr>
            <w:tcW w:w="1845" w:type="dxa"/>
            <w:vAlign w:val="center"/>
          </w:tcPr>
          <w:p>
            <w:pPr>
              <w:keepNext w:val="0"/>
              <w:keepLines w:val="0"/>
              <w:widowControl/>
              <w:suppressLineNumbers w:val="0"/>
              <w:jc w:val="center"/>
              <w:textAlignment w:val="center"/>
              <w:rPr>
                <w:rFonts w:hint="eastAsia"/>
                <w:sz w:val="21"/>
                <w:szCs w:val="21"/>
                <w:vertAlign w:val="baseline"/>
              </w:rPr>
            </w:pPr>
          </w:p>
        </w:tc>
        <w:tc>
          <w:tcPr>
            <w:tcW w:w="1380" w:type="dxa"/>
            <w:vAlign w:val="center"/>
          </w:tcPr>
          <w:p>
            <w:pPr>
              <w:keepNext w:val="0"/>
              <w:keepLines w:val="0"/>
              <w:widowControl/>
              <w:suppressLineNumbers w:val="0"/>
              <w:jc w:val="center"/>
              <w:textAlignment w:val="center"/>
              <w:rPr>
                <w:rFonts w:hint="eastAsia"/>
                <w:sz w:val="21"/>
                <w:szCs w:val="21"/>
                <w:vertAlign w:val="baseline"/>
              </w:rPr>
            </w:pPr>
          </w:p>
        </w:tc>
        <w:tc>
          <w:tcPr>
            <w:tcW w:w="660" w:type="dxa"/>
            <w:vAlign w:val="center"/>
          </w:tcPr>
          <w:p>
            <w:pPr>
              <w:keepNext w:val="0"/>
              <w:keepLines w:val="0"/>
              <w:widowControl/>
              <w:suppressLineNumbers w:val="0"/>
              <w:jc w:val="center"/>
              <w:textAlignment w:val="center"/>
              <w:rPr>
                <w:rFonts w:hint="eastAsia"/>
                <w:sz w:val="21"/>
                <w:szCs w:val="21"/>
                <w:vertAlign w:val="baseline"/>
              </w:rPr>
            </w:pPr>
          </w:p>
        </w:tc>
        <w:tc>
          <w:tcPr>
            <w:tcW w:w="855" w:type="dxa"/>
            <w:vAlign w:val="center"/>
          </w:tcPr>
          <w:p>
            <w:pPr>
              <w:keepNext w:val="0"/>
              <w:keepLines w:val="0"/>
              <w:widowControl/>
              <w:suppressLineNumbers w:val="0"/>
              <w:jc w:val="center"/>
              <w:textAlignment w:val="center"/>
              <w:rPr>
                <w:rFonts w:hint="eastAsia"/>
                <w:sz w:val="21"/>
                <w:szCs w:val="21"/>
                <w:vertAlign w:val="baseline"/>
              </w:rPr>
            </w:pPr>
          </w:p>
        </w:tc>
        <w:tc>
          <w:tcPr>
            <w:tcW w:w="900" w:type="dxa"/>
            <w:vAlign w:val="center"/>
          </w:tcPr>
          <w:p>
            <w:pPr>
              <w:keepNext w:val="0"/>
              <w:keepLines w:val="0"/>
              <w:widowControl/>
              <w:suppressLineNumbers w:val="0"/>
              <w:jc w:val="center"/>
              <w:textAlignment w:val="center"/>
              <w:rPr>
                <w:rFonts w:hint="eastAsia"/>
                <w:sz w:val="21"/>
                <w:szCs w:val="21"/>
                <w:vertAlign w:val="baseline"/>
              </w:rPr>
            </w:pPr>
          </w:p>
        </w:tc>
        <w:tc>
          <w:tcPr>
            <w:tcW w:w="1156" w:type="dxa"/>
            <w:vAlign w:val="center"/>
          </w:tcPr>
          <w:p>
            <w:pPr>
              <w:keepNext w:val="0"/>
              <w:keepLines w:val="0"/>
              <w:widowControl/>
              <w:suppressLineNumbers w:val="0"/>
              <w:jc w:val="center"/>
              <w:textAlignment w:val="center"/>
              <w:rPr>
                <w:rFonts w:hint="eastAsia"/>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66" w:type="dxa"/>
            <w:gridSpan w:val="6"/>
            <w:shd w:val="clear" w:color="auto" w:fill="auto"/>
            <w:vAlign w:val="top"/>
          </w:tcPr>
          <w:p>
            <w:pPr>
              <w:jc w:val="center"/>
              <w:rPr>
                <w:rFonts w:hint="default" w:asciiTheme="minorHAnsi" w:hAnsiTheme="minorHAnsi" w:eastAsiaTheme="minor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合计金额</w:t>
            </w:r>
          </w:p>
        </w:tc>
        <w:tc>
          <w:tcPr>
            <w:tcW w:w="2056" w:type="dxa"/>
            <w:gridSpan w:val="2"/>
          </w:tcPr>
          <w:p>
            <w:pPr>
              <w:jc w:val="center"/>
              <w:rPr>
                <w:rFonts w:hint="eastAsia"/>
                <w:sz w:val="21"/>
                <w:szCs w:val="21"/>
                <w:vertAlign w:val="baseline"/>
              </w:rPr>
            </w:pPr>
          </w:p>
        </w:tc>
      </w:tr>
    </w:tbl>
    <w:p>
      <w:pPr>
        <w:jc w:val="left"/>
        <w:rPr>
          <w:sz w:val="28"/>
          <w:szCs w:val="28"/>
        </w:rPr>
      </w:pPr>
      <w:r>
        <w:rPr>
          <w:rFonts w:hint="eastAsia"/>
          <w:sz w:val="28"/>
          <w:szCs w:val="28"/>
        </w:rPr>
        <w:t>二、</w:t>
      </w:r>
    </w:p>
    <w:tbl>
      <w:tblPr>
        <w:tblStyle w:val="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7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4" w:hRule="atLeast"/>
        </w:trPr>
        <w:tc>
          <w:tcPr>
            <w:tcW w:w="1372" w:type="dxa"/>
            <w:vAlign w:val="center"/>
          </w:tcPr>
          <w:p>
            <w:pPr>
              <w:jc w:val="center"/>
              <w:rPr>
                <w:rFonts w:hint="eastAsia" w:ascii="宋体" w:hAnsi="宋体"/>
                <w:sz w:val="24"/>
                <w:szCs w:val="24"/>
                <w:lang w:val="en-US" w:eastAsia="zh-CN"/>
              </w:rPr>
            </w:pPr>
            <w:r>
              <w:rPr>
                <w:rFonts w:hint="eastAsia" w:ascii="宋体" w:hAnsi="宋体"/>
                <w:sz w:val="24"/>
                <w:szCs w:val="24"/>
                <w:lang w:val="en-US" w:eastAsia="zh-CN"/>
              </w:rPr>
              <w:t>供应商/厂家</w:t>
            </w:r>
          </w:p>
          <w:p>
            <w:pPr>
              <w:jc w:val="center"/>
              <w:rPr>
                <w:rFonts w:ascii="宋体" w:hAnsi="宋体"/>
                <w:sz w:val="24"/>
                <w:szCs w:val="24"/>
              </w:rPr>
            </w:pPr>
            <w:r>
              <w:rPr>
                <w:rFonts w:hint="eastAsia" w:ascii="宋体" w:hAnsi="宋体"/>
                <w:sz w:val="24"/>
                <w:szCs w:val="24"/>
              </w:rPr>
              <w:t>汇款信息</w:t>
            </w:r>
          </w:p>
        </w:tc>
        <w:tc>
          <w:tcPr>
            <w:tcW w:w="7150" w:type="dxa"/>
            <w:vAlign w:val="bottom"/>
          </w:tcPr>
          <w:p>
            <w:pPr>
              <w:rPr>
                <w:rFonts w:ascii="宋体" w:hAnsi="宋体"/>
                <w:sz w:val="24"/>
                <w:szCs w:val="24"/>
              </w:rPr>
            </w:pPr>
            <w:r>
              <w:rPr>
                <w:rFonts w:hint="eastAsia" w:ascii="宋体" w:hAnsi="宋体"/>
                <w:sz w:val="24"/>
                <w:szCs w:val="24"/>
              </w:rPr>
              <w:t>单位名称：</w:t>
            </w:r>
            <w:r>
              <w:rPr>
                <w:rFonts w:hint="eastAsia" w:ascii="宋体" w:hAnsi="宋体"/>
                <w:sz w:val="24"/>
                <w:szCs w:val="24"/>
                <w:u w:val="single"/>
              </w:rPr>
              <w:t xml:space="preserve">                                     </w:t>
            </w:r>
          </w:p>
          <w:p>
            <w:pPr>
              <w:rPr>
                <w:rFonts w:ascii="宋体" w:hAnsi="宋体"/>
                <w:sz w:val="24"/>
                <w:szCs w:val="24"/>
              </w:rPr>
            </w:pPr>
            <w:r>
              <w:rPr>
                <w:rFonts w:hint="eastAsia" w:ascii="宋体" w:hAnsi="宋体"/>
                <w:sz w:val="24"/>
                <w:szCs w:val="24"/>
              </w:rPr>
              <w:t>开户银行：</w:t>
            </w:r>
            <w:r>
              <w:rPr>
                <w:rFonts w:hint="eastAsia" w:ascii="宋体" w:hAnsi="宋体"/>
                <w:sz w:val="24"/>
                <w:szCs w:val="24"/>
                <w:u w:val="single"/>
              </w:rPr>
              <w:t xml:space="preserve">                                     </w:t>
            </w:r>
          </w:p>
          <w:p>
            <w:pPr>
              <w:rPr>
                <w:rFonts w:ascii="宋体" w:hAnsi="宋体"/>
                <w:sz w:val="24"/>
                <w:szCs w:val="24"/>
                <w:u w:val="single"/>
              </w:rPr>
            </w:pPr>
            <w:r>
              <w:rPr>
                <w:rFonts w:hint="eastAsia" w:ascii="宋体" w:hAnsi="宋体"/>
                <w:sz w:val="24"/>
                <w:szCs w:val="24"/>
              </w:rPr>
              <w:t>账    号：</w:t>
            </w:r>
            <w:r>
              <w:rPr>
                <w:rFonts w:hint="eastAsia" w:ascii="宋体" w:hAnsi="宋体"/>
                <w:sz w:val="24"/>
                <w:szCs w:val="24"/>
                <w:u w:val="single"/>
              </w:rPr>
              <w:t xml:space="preserve">                                     </w:t>
            </w:r>
          </w:p>
        </w:tc>
      </w:tr>
    </w:tbl>
    <w:p>
      <w:pPr>
        <w:jc w:val="left"/>
        <w:rPr>
          <w:sz w:val="28"/>
          <w:szCs w:val="28"/>
        </w:rPr>
      </w:pPr>
      <w:r>
        <w:rPr>
          <w:rFonts w:hint="eastAsia"/>
          <w:sz w:val="28"/>
          <w:szCs w:val="28"/>
        </w:rPr>
        <w:t>三、</w:t>
      </w:r>
    </w:p>
    <w:p>
      <w:pPr>
        <w:jc w:val="left"/>
        <w:rPr>
          <w:sz w:val="24"/>
          <w:szCs w:val="24"/>
          <w:u w:val="single"/>
        </w:rPr>
      </w:pPr>
      <w:r>
        <w:rPr>
          <w:rFonts w:hint="eastAsia"/>
          <w:sz w:val="24"/>
          <w:szCs w:val="24"/>
        </w:rPr>
        <w:t>经销商/厂家承诺质保期：</w:t>
      </w:r>
      <w:r>
        <w:rPr>
          <w:rFonts w:hint="eastAsia"/>
          <w:sz w:val="24"/>
          <w:szCs w:val="24"/>
          <w:u w:val="single"/>
        </w:rPr>
        <w:t xml:space="preserve">                        </w:t>
      </w:r>
    </w:p>
    <w:p>
      <w:pPr>
        <w:jc w:val="left"/>
        <w:rPr>
          <w:sz w:val="24"/>
          <w:szCs w:val="24"/>
          <w:u w:val="single"/>
        </w:rPr>
      </w:pPr>
      <w:r>
        <w:rPr>
          <w:rFonts w:hint="eastAsia"/>
          <w:sz w:val="24"/>
          <w:szCs w:val="24"/>
        </w:rPr>
        <w:t>经销商/厂家报价有效期限：</w:t>
      </w:r>
      <w:r>
        <w:rPr>
          <w:rFonts w:hint="eastAsia"/>
          <w:sz w:val="24"/>
          <w:szCs w:val="24"/>
          <w:u w:val="single"/>
        </w:rPr>
        <w:t xml:space="preserve">                      </w:t>
      </w:r>
    </w:p>
    <w:p>
      <w:pPr>
        <w:jc w:val="left"/>
        <w:rPr>
          <w:sz w:val="24"/>
          <w:szCs w:val="24"/>
          <w:u w:val="single"/>
        </w:rPr>
      </w:pPr>
      <w:r>
        <w:rPr>
          <w:rFonts w:hint="eastAsia"/>
          <w:sz w:val="24"/>
          <w:szCs w:val="24"/>
        </w:rPr>
        <w:t>经销商/厂家名称：（</w:t>
      </w:r>
      <w:r>
        <w:rPr>
          <w:rFonts w:hint="eastAsia"/>
          <w:b/>
          <w:sz w:val="24"/>
          <w:szCs w:val="24"/>
        </w:rPr>
        <w:t>盖章</w:t>
      </w:r>
      <w:r>
        <w:rPr>
          <w:rFonts w:hint="eastAsia"/>
          <w:sz w:val="24"/>
          <w:szCs w:val="24"/>
        </w:rPr>
        <w:t>）</w:t>
      </w:r>
      <w:r>
        <w:rPr>
          <w:rFonts w:hint="eastAsia"/>
          <w:sz w:val="24"/>
          <w:szCs w:val="24"/>
          <w:u w:val="single"/>
        </w:rPr>
        <w:t xml:space="preserve">                      </w:t>
      </w:r>
    </w:p>
    <w:p>
      <w:pPr>
        <w:jc w:val="left"/>
        <w:rPr>
          <w:sz w:val="24"/>
          <w:szCs w:val="24"/>
          <w:u w:val="single"/>
        </w:rPr>
      </w:pPr>
      <w:r>
        <w:rPr>
          <w:rFonts w:hint="eastAsia"/>
          <w:sz w:val="24"/>
          <w:szCs w:val="24"/>
        </w:rPr>
        <w:t>经销商/厂家电子邮箱：</w:t>
      </w:r>
      <w:r>
        <w:rPr>
          <w:rFonts w:hint="eastAsia"/>
          <w:sz w:val="24"/>
          <w:szCs w:val="24"/>
          <w:u w:val="single"/>
        </w:rPr>
        <w:t xml:space="preserve">           </w:t>
      </w:r>
      <w:r>
        <w:rPr>
          <w:rFonts w:hint="eastAsia"/>
          <w:color w:val="FF0000"/>
          <w:sz w:val="24"/>
          <w:szCs w:val="24"/>
          <w:u w:val="single"/>
        </w:rPr>
        <w:t>必填</w:t>
      </w:r>
      <w:r>
        <w:rPr>
          <w:rFonts w:hint="eastAsia"/>
          <w:sz w:val="24"/>
          <w:szCs w:val="24"/>
          <w:u w:val="single"/>
        </w:rPr>
        <w:t xml:space="preserve">           </w:t>
      </w:r>
    </w:p>
    <w:p>
      <w:pPr>
        <w:jc w:val="left"/>
        <w:rPr>
          <w:sz w:val="24"/>
          <w:szCs w:val="24"/>
          <w:u w:val="single"/>
        </w:rPr>
      </w:pPr>
      <w:r>
        <w:rPr>
          <w:rFonts w:hint="eastAsia"/>
          <w:sz w:val="24"/>
          <w:szCs w:val="24"/>
        </w:rPr>
        <w:t>联系人：</w:t>
      </w:r>
      <w:r>
        <w:rPr>
          <w:rFonts w:hint="eastAsia"/>
          <w:sz w:val="24"/>
          <w:szCs w:val="24"/>
          <w:u w:val="single"/>
        </w:rPr>
        <w:t xml:space="preserve">                </w:t>
      </w:r>
      <w:r>
        <w:rPr>
          <w:rFonts w:hint="eastAsia"/>
          <w:sz w:val="24"/>
          <w:szCs w:val="24"/>
        </w:rPr>
        <w:t>联系电话：</w:t>
      </w:r>
      <w:r>
        <w:rPr>
          <w:rFonts w:hint="eastAsia"/>
          <w:sz w:val="24"/>
          <w:szCs w:val="24"/>
          <w:u w:val="single"/>
        </w:rPr>
        <w:t xml:space="preserve">             </w:t>
      </w:r>
    </w:p>
    <w:p>
      <w:pPr>
        <w:jc w:val="left"/>
        <w:rPr>
          <w:sz w:val="24"/>
          <w:szCs w:val="24"/>
          <w:u w:val="single"/>
        </w:rPr>
      </w:pPr>
      <w:r>
        <w:rPr>
          <w:rFonts w:hint="eastAsia"/>
          <w:sz w:val="24"/>
          <w:szCs w:val="24"/>
          <w:lang w:val="en-US" w:eastAsia="zh-CN"/>
        </w:rPr>
        <w:t>服务</w:t>
      </w:r>
      <w:r>
        <w:rPr>
          <w:rFonts w:hint="eastAsia"/>
          <w:sz w:val="24"/>
          <w:szCs w:val="24"/>
        </w:rPr>
        <w:t>时间：签订合同或收到相关通知之日起</w:t>
      </w:r>
      <w:r>
        <w:rPr>
          <w:rFonts w:hint="eastAsia"/>
          <w:sz w:val="24"/>
          <w:szCs w:val="24"/>
          <w:u w:val="single"/>
        </w:rPr>
        <w:t xml:space="preserve">      </w:t>
      </w:r>
      <w:r>
        <w:rPr>
          <w:rFonts w:hint="eastAsia"/>
          <w:sz w:val="24"/>
          <w:szCs w:val="24"/>
        </w:rPr>
        <w:t>天</w:t>
      </w:r>
    </w:p>
    <w:p>
      <w:pPr>
        <w:jc w:val="left"/>
        <w:rPr>
          <w:rFonts w:hint="eastAsia"/>
          <w:sz w:val="24"/>
          <w:szCs w:val="24"/>
        </w:rPr>
      </w:pPr>
      <w:r>
        <w:rPr>
          <w:rFonts w:hint="eastAsia"/>
          <w:sz w:val="24"/>
          <w:szCs w:val="24"/>
        </w:rPr>
        <w:t xml:space="preserve">                                               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pPr>
        <w:jc w:val="left"/>
        <w:rPr>
          <w:rFonts w:hint="eastAsia"/>
          <w:sz w:val="24"/>
          <w:szCs w:val="24"/>
        </w:rPr>
      </w:pPr>
      <w:r>
        <w:rPr>
          <w:rFonts w:hint="eastAsia"/>
          <w:sz w:val="24"/>
          <w:szCs w:val="24"/>
        </w:rPr>
        <w:t xml:space="preserve"> </w:t>
      </w:r>
    </w:p>
    <w:p>
      <w:pPr>
        <w:rPr>
          <w:rFonts w:hint="eastAsia"/>
          <w:lang w:val="en-US" w:eastAsia="zh-CN"/>
        </w:rPr>
      </w:pPr>
    </w:p>
    <w:p>
      <w:pPr>
        <w:numPr>
          <w:ilvl w:val="0"/>
          <w:numId w:val="0"/>
        </w:numPr>
        <w:rPr>
          <w:rFonts w:hint="default"/>
          <w:lang w:val="en-US" w:eastAsia="zh-CN"/>
        </w:rPr>
      </w:pPr>
      <w:r>
        <w:rPr>
          <w:rFonts w:hint="eastAsia" w:cstheme="minorBidi"/>
          <w:color w:val="FF0000"/>
          <w:kern w:val="2"/>
          <w:sz w:val="21"/>
          <w:szCs w:val="24"/>
          <w:lang w:val="en-US" w:eastAsia="zh-CN" w:bidi="ar-SA"/>
        </w:rPr>
        <w:t>附件2：</w:t>
      </w:r>
      <w:r>
        <w:rPr>
          <w:rFonts w:hint="eastAsia"/>
          <w:lang w:val="en-US" w:eastAsia="zh-CN"/>
        </w:rPr>
        <w:t>供应商资质文件、厂家授权文件、厂家资质文件、产品技术参数（厂家盖章）。</w:t>
      </w:r>
    </w:p>
    <w:p>
      <w:pPr>
        <w:numPr>
          <w:ilvl w:val="0"/>
          <w:numId w:val="0"/>
        </w:numPr>
        <w:rPr>
          <w:rFonts w:hint="eastAsia" w:cstheme="minorBidi"/>
          <w:color w:val="FF0000"/>
          <w:kern w:val="2"/>
          <w:sz w:val="21"/>
          <w:szCs w:val="24"/>
          <w:lang w:val="en-US" w:eastAsia="zh-CN" w:bidi="ar-SA"/>
        </w:rPr>
      </w:pPr>
    </w:p>
    <w:p>
      <w:pPr>
        <w:numPr>
          <w:ilvl w:val="0"/>
          <w:numId w:val="0"/>
        </w:numPr>
        <w:rPr>
          <w:rFonts w:hint="eastAsia" w:cstheme="minorBidi"/>
          <w:color w:val="FF0000"/>
          <w:kern w:val="2"/>
          <w:sz w:val="21"/>
          <w:szCs w:val="24"/>
          <w:lang w:val="en-US" w:eastAsia="zh-CN" w:bidi="ar-SA"/>
        </w:rPr>
      </w:pPr>
      <w:r>
        <w:rPr>
          <w:rFonts w:hint="eastAsia" w:cstheme="minorBidi"/>
          <w:color w:val="FF0000"/>
          <w:kern w:val="2"/>
          <w:sz w:val="21"/>
          <w:szCs w:val="24"/>
          <w:lang w:val="en-US" w:eastAsia="zh-CN" w:bidi="ar-SA"/>
        </w:rPr>
        <w:t>附件3：</w:t>
      </w:r>
      <w:r>
        <w:rPr>
          <w:rFonts w:hint="eastAsia"/>
          <w:lang w:val="en-US" w:eastAsia="zh-CN"/>
        </w:rPr>
        <w:t>参数偏离表</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25"/>
        <w:gridCol w:w="283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1" w:type="dxa"/>
            <w:vAlign w:val="center"/>
          </w:tcPr>
          <w:p>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序号</w:t>
            </w:r>
          </w:p>
        </w:tc>
        <w:tc>
          <w:tcPr>
            <w:tcW w:w="2925" w:type="dxa"/>
            <w:vAlign w:val="center"/>
          </w:tcPr>
          <w:p>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询价文件参数要求</w:t>
            </w:r>
          </w:p>
        </w:tc>
        <w:tc>
          <w:tcPr>
            <w:tcW w:w="2835" w:type="dxa"/>
            <w:vAlign w:val="center"/>
          </w:tcPr>
          <w:p>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供应商报价文件对应的参数</w:t>
            </w:r>
          </w:p>
        </w:tc>
        <w:tc>
          <w:tcPr>
            <w:tcW w:w="2131" w:type="dxa"/>
            <w:vAlign w:val="center"/>
          </w:tcPr>
          <w:p>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差异说明</w:t>
            </w:r>
          </w:p>
          <w:p>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正偏离/负偏离/完全一致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1" w:type="dxa"/>
            <w:vAlign w:val="center"/>
          </w:tcPr>
          <w:p>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1</w:t>
            </w:r>
          </w:p>
        </w:tc>
        <w:tc>
          <w:tcPr>
            <w:tcW w:w="2925" w:type="dxa"/>
            <w:vAlign w:val="center"/>
          </w:tcPr>
          <w:p>
            <w:pPr>
              <w:numPr>
                <w:ilvl w:val="0"/>
                <w:numId w:val="0"/>
              </w:numPr>
              <w:jc w:val="center"/>
              <w:rPr>
                <w:rFonts w:hint="eastAsia" w:cstheme="minorBidi"/>
                <w:color w:val="auto"/>
                <w:kern w:val="2"/>
                <w:sz w:val="24"/>
                <w:szCs w:val="24"/>
                <w:lang w:val="en-US" w:eastAsia="zh-CN" w:bidi="ar-SA"/>
              </w:rPr>
            </w:pPr>
          </w:p>
        </w:tc>
        <w:tc>
          <w:tcPr>
            <w:tcW w:w="2835" w:type="dxa"/>
            <w:vAlign w:val="center"/>
          </w:tcPr>
          <w:p>
            <w:pPr>
              <w:numPr>
                <w:ilvl w:val="0"/>
                <w:numId w:val="0"/>
              </w:numPr>
              <w:jc w:val="center"/>
              <w:rPr>
                <w:rFonts w:hint="eastAsia" w:cstheme="minorBidi"/>
                <w:color w:val="auto"/>
                <w:kern w:val="2"/>
                <w:sz w:val="24"/>
                <w:szCs w:val="24"/>
                <w:lang w:val="en-US" w:eastAsia="zh-CN" w:bidi="ar-SA"/>
              </w:rPr>
            </w:pPr>
          </w:p>
        </w:tc>
        <w:tc>
          <w:tcPr>
            <w:tcW w:w="2131" w:type="dxa"/>
            <w:vAlign w:val="center"/>
          </w:tcPr>
          <w:p>
            <w:pPr>
              <w:numPr>
                <w:ilvl w:val="0"/>
                <w:numId w:val="0"/>
              </w:numPr>
              <w:jc w:val="center"/>
              <w:rPr>
                <w:rFonts w:hint="eastAsia" w:cstheme="minorBidi"/>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1" w:type="dxa"/>
            <w:vAlign w:val="center"/>
          </w:tcPr>
          <w:p>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2</w:t>
            </w:r>
          </w:p>
        </w:tc>
        <w:tc>
          <w:tcPr>
            <w:tcW w:w="2925" w:type="dxa"/>
            <w:vAlign w:val="center"/>
          </w:tcPr>
          <w:p>
            <w:pPr>
              <w:numPr>
                <w:ilvl w:val="0"/>
                <w:numId w:val="0"/>
              </w:numPr>
              <w:jc w:val="center"/>
              <w:rPr>
                <w:rFonts w:hint="eastAsia" w:cstheme="minorBidi"/>
                <w:color w:val="auto"/>
                <w:kern w:val="2"/>
                <w:sz w:val="24"/>
                <w:szCs w:val="24"/>
                <w:lang w:val="en-US" w:eastAsia="zh-CN" w:bidi="ar-SA"/>
              </w:rPr>
            </w:pPr>
          </w:p>
        </w:tc>
        <w:tc>
          <w:tcPr>
            <w:tcW w:w="2835" w:type="dxa"/>
            <w:vAlign w:val="center"/>
          </w:tcPr>
          <w:p>
            <w:pPr>
              <w:numPr>
                <w:ilvl w:val="0"/>
                <w:numId w:val="0"/>
              </w:numPr>
              <w:jc w:val="center"/>
              <w:rPr>
                <w:rFonts w:hint="eastAsia" w:cstheme="minorBidi"/>
                <w:color w:val="auto"/>
                <w:kern w:val="2"/>
                <w:sz w:val="24"/>
                <w:szCs w:val="24"/>
                <w:lang w:val="en-US" w:eastAsia="zh-CN" w:bidi="ar-SA"/>
              </w:rPr>
            </w:pPr>
          </w:p>
        </w:tc>
        <w:tc>
          <w:tcPr>
            <w:tcW w:w="2131" w:type="dxa"/>
            <w:vAlign w:val="center"/>
          </w:tcPr>
          <w:p>
            <w:pPr>
              <w:numPr>
                <w:ilvl w:val="0"/>
                <w:numId w:val="0"/>
              </w:numPr>
              <w:jc w:val="center"/>
              <w:rPr>
                <w:rFonts w:hint="eastAsia" w:cstheme="minorBidi"/>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1" w:type="dxa"/>
            <w:vAlign w:val="center"/>
          </w:tcPr>
          <w:p>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w:t>
            </w:r>
          </w:p>
        </w:tc>
        <w:tc>
          <w:tcPr>
            <w:tcW w:w="2925" w:type="dxa"/>
            <w:vAlign w:val="center"/>
          </w:tcPr>
          <w:p>
            <w:pPr>
              <w:numPr>
                <w:ilvl w:val="0"/>
                <w:numId w:val="0"/>
              </w:numPr>
              <w:jc w:val="center"/>
              <w:rPr>
                <w:rFonts w:hint="eastAsia" w:cstheme="minorBidi"/>
                <w:color w:val="auto"/>
                <w:kern w:val="2"/>
                <w:sz w:val="24"/>
                <w:szCs w:val="24"/>
                <w:lang w:val="en-US" w:eastAsia="zh-CN" w:bidi="ar-SA"/>
              </w:rPr>
            </w:pPr>
          </w:p>
        </w:tc>
        <w:tc>
          <w:tcPr>
            <w:tcW w:w="2835" w:type="dxa"/>
            <w:vAlign w:val="center"/>
          </w:tcPr>
          <w:p>
            <w:pPr>
              <w:numPr>
                <w:ilvl w:val="0"/>
                <w:numId w:val="0"/>
              </w:numPr>
              <w:jc w:val="center"/>
              <w:rPr>
                <w:rFonts w:hint="eastAsia" w:cstheme="minorBidi"/>
                <w:color w:val="auto"/>
                <w:kern w:val="2"/>
                <w:sz w:val="24"/>
                <w:szCs w:val="24"/>
                <w:lang w:val="en-US" w:eastAsia="zh-CN" w:bidi="ar-SA"/>
              </w:rPr>
            </w:pPr>
          </w:p>
        </w:tc>
        <w:tc>
          <w:tcPr>
            <w:tcW w:w="2131" w:type="dxa"/>
            <w:vAlign w:val="center"/>
          </w:tcPr>
          <w:p>
            <w:pPr>
              <w:numPr>
                <w:ilvl w:val="0"/>
                <w:numId w:val="0"/>
              </w:numPr>
              <w:jc w:val="center"/>
              <w:rPr>
                <w:rFonts w:hint="eastAsia" w:cstheme="minorBidi"/>
                <w:color w:val="auto"/>
                <w:kern w:val="2"/>
                <w:sz w:val="24"/>
                <w:szCs w:val="24"/>
                <w:lang w:val="en-US" w:eastAsia="zh-CN" w:bidi="ar-SA"/>
              </w:rPr>
            </w:pPr>
          </w:p>
        </w:tc>
      </w:tr>
    </w:tbl>
    <w:p>
      <w:pPr>
        <w:numPr>
          <w:ilvl w:val="0"/>
          <w:numId w:val="0"/>
        </w:numPr>
        <w:rPr>
          <w:rFonts w:hint="eastAsia" w:cstheme="minorBidi"/>
          <w:color w:val="FF0000"/>
          <w:kern w:val="2"/>
          <w:sz w:val="21"/>
          <w:szCs w:val="24"/>
          <w:lang w:val="en-US" w:eastAsia="zh-CN" w:bidi="ar-SA"/>
        </w:rPr>
      </w:pPr>
    </w:p>
    <w:p>
      <w:pPr>
        <w:numPr>
          <w:ilvl w:val="0"/>
          <w:numId w:val="0"/>
        </w:numPr>
        <w:rPr>
          <w:rFonts w:hint="default"/>
          <w:lang w:val="en-US" w:eastAsia="zh-CN"/>
        </w:rPr>
      </w:pPr>
      <w:r>
        <w:rPr>
          <w:rFonts w:hint="eastAsia" w:cstheme="minorBidi"/>
          <w:color w:val="FF0000"/>
          <w:kern w:val="2"/>
          <w:sz w:val="21"/>
          <w:szCs w:val="24"/>
          <w:lang w:val="en-US" w:eastAsia="zh-CN" w:bidi="ar-SA"/>
        </w:rPr>
        <w:t>附件4：</w:t>
      </w:r>
      <w:r>
        <w:rPr>
          <w:rFonts w:hint="eastAsia"/>
          <w:lang w:val="en-US" w:eastAsia="zh-CN"/>
        </w:rPr>
        <w:t>参数要求及参数偏离表</w:t>
      </w:r>
    </w:p>
    <w:p>
      <w:pPr>
        <w:widowControl/>
        <w:jc w:val="center"/>
        <w:rPr>
          <w:rFonts w:hint="default" w:ascii="宋体" w:hAnsi="宋体" w:eastAsiaTheme="minorEastAsia"/>
          <w:b/>
          <w:bCs/>
          <w:sz w:val="28"/>
          <w:szCs w:val="28"/>
          <w:highlight w:val="none"/>
          <w:lang w:val="en-US" w:eastAsia="zh-CN"/>
        </w:rPr>
      </w:pPr>
      <w:bookmarkStart w:id="0" w:name="_GoBack"/>
      <w:bookmarkEnd w:id="0"/>
      <w:r>
        <w:rPr>
          <w:rFonts w:hint="eastAsia" w:ascii="宋体" w:hAnsi="宋体"/>
          <w:b/>
          <w:bCs/>
          <w:sz w:val="28"/>
          <w:szCs w:val="28"/>
          <w:highlight w:val="none"/>
        </w:rPr>
        <w:t>病人转运车（升降平车）</w:t>
      </w:r>
      <w:r>
        <w:rPr>
          <w:rFonts w:hint="eastAsia" w:ascii="宋体" w:hAnsi="宋体"/>
          <w:b/>
          <w:bCs/>
          <w:sz w:val="28"/>
          <w:szCs w:val="28"/>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b/>
          <w:bCs/>
          <w:color w:val="2F2F2F"/>
          <w:sz w:val="24"/>
          <w:szCs w:val="24"/>
        </w:rPr>
      </w:pPr>
    </w:p>
    <w:p>
      <w:pPr>
        <w:jc w:val="left"/>
        <w:rPr>
          <w:rFonts w:hint="default" w:asciiTheme="minorEastAsia" w:hAnsiTheme="minorEastAsia" w:eastAsiaTheme="minorEastAsia" w:cstheme="minorEastAsia"/>
          <w:color w:val="2F2F2F"/>
          <w:sz w:val="24"/>
          <w:szCs w:val="24"/>
          <w:lang w:val="en-US"/>
        </w:rPr>
      </w:pPr>
      <w:r>
        <w:rPr>
          <w:rFonts w:hint="eastAsia" w:asciiTheme="majorEastAsia" w:hAnsiTheme="majorEastAsia" w:eastAsiaTheme="majorEastAsia" w:cstheme="majorEastAsia"/>
          <w:b/>
          <w:sz w:val="24"/>
          <w:szCs w:val="24"/>
          <w:lang w:val="en-US" w:eastAsia="zh-CN"/>
        </w:rPr>
        <w:t>数量1台，预算金额3600元，</w:t>
      </w:r>
      <w:r>
        <w:rPr>
          <w:rFonts w:hint="eastAsia" w:asciiTheme="majorEastAsia" w:hAnsiTheme="majorEastAsia" w:eastAsiaTheme="majorEastAsia" w:cstheme="majorEastAsia"/>
          <w:b/>
          <w:sz w:val="24"/>
          <w:szCs w:val="24"/>
          <w:highlight w:val="none"/>
          <w:lang w:val="en-US" w:eastAsia="zh-CN"/>
        </w:rPr>
        <w:t>质保3年</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b/>
          <w:bCs/>
          <w:color w:val="2F2F2F"/>
          <w:sz w:val="24"/>
          <w:szCs w:val="24"/>
        </w:rPr>
      </w:pP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b/>
          <w:bCs/>
          <w:color w:val="2F2F2F"/>
          <w:sz w:val="24"/>
          <w:szCs w:val="24"/>
        </w:rPr>
      </w:pPr>
      <w:r>
        <w:rPr>
          <w:rFonts w:hint="eastAsia" w:asciiTheme="minorEastAsia" w:hAnsiTheme="minorEastAsia" w:eastAsiaTheme="minorEastAsia" w:cstheme="minorEastAsia"/>
          <w:b/>
          <w:bCs/>
          <w:color w:val="2F2F2F"/>
          <w:sz w:val="24"/>
          <w:szCs w:val="24"/>
        </w:rPr>
        <w:t>技术参数要求：</w:t>
      </w:r>
    </w:p>
    <w:p>
      <w:pPr>
        <w:rPr>
          <w:rFonts w:hint="eastAsia"/>
          <w:sz w:val="24"/>
          <w:szCs w:val="24"/>
        </w:rPr>
      </w:pPr>
    </w:p>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lang w:eastAsia="zh-CN"/>
        </w:rPr>
        <w:t>、</w:t>
      </w:r>
      <w:r>
        <w:rPr>
          <w:rFonts w:ascii="宋体" w:hAnsi="宋体"/>
          <w:sz w:val="24"/>
          <w:szCs w:val="24"/>
          <w:highlight w:val="none"/>
        </w:rPr>
        <w:t>平车面尺寸：</w:t>
      </w:r>
      <w:r>
        <w:rPr>
          <w:rFonts w:hint="eastAsia" w:ascii="宋体" w:hAnsi="宋体"/>
          <w:sz w:val="24"/>
          <w:szCs w:val="24"/>
          <w:highlight w:val="none"/>
          <w:lang w:val="en-US" w:eastAsia="zh-CN"/>
        </w:rPr>
        <w:t>≥车长1</w:t>
      </w:r>
      <w:r>
        <w:rPr>
          <w:rFonts w:ascii="宋体" w:hAnsi="宋体"/>
          <w:sz w:val="24"/>
          <w:szCs w:val="24"/>
          <w:highlight w:val="none"/>
        </w:rPr>
        <w:t>9</w:t>
      </w:r>
      <w:r>
        <w:rPr>
          <w:rFonts w:hint="eastAsia" w:ascii="宋体" w:hAnsi="宋体"/>
          <w:sz w:val="24"/>
          <w:szCs w:val="24"/>
          <w:highlight w:val="none"/>
          <w:lang w:val="en-US" w:eastAsia="zh-CN"/>
        </w:rPr>
        <w:t>0</w:t>
      </w:r>
      <w:r>
        <w:rPr>
          <w:rFonts w:ascii="宋体" w:hAnsi="宋体"/>
          <w:sz w:val="24"/>
          <w:szCs w:val="24"/>
          <w:highlight w:val="none"/>
        </w:rPr>
        <w:t>0*</w:t>
      </w:r>
      <w:r>
        <w:rPr>
          <w:rFonts w:hint="eastAsia" w:ascii="宋体" w:hAnsi="宋体" w:cs="微软雅黑"/>
          <w:bCs/>
          <w:sz w:val="24"/>
          <w:highlight w:val="none"/>
          <w:lang w:val="en-US" w:eastAsia="zh-CN"/>
        </w:rPr>
        <w:t>面板宽</w:t>
      </w:r>
      <w:r>
        <w:rPr>
          <w:rFonts w:hint="eastAsia" w:ascii="宋体" w:hAnsi="宋体"/>
          <w:sz w:val="24"/>
          <w:szCs w:val="24"/>
          <w:highlight w:val="none"/>
          <w:lang w:val="en-US" w:eastAsia="zh-CN"/>
        </w:rPr>
        <w:t>58</w:t>
      </w:r>
      <w:r>
        <w:rPr>
          <w:rFonts w:ascii="宋体" w:hAnsi="宋体"/>
          <w:sz w:val="24"/>
          <w:szCs w:val="24"/>
          <w:highlight w:val="none"/>
        </w:rPr>
        <w:t>0mm</w:t>
      </w:r>
      <w:r>
        <w:rPr>
          <w:rFonts w:hint="eastAsia" w:ascii="宋体" w:hAnsi="宋体" w:cs="微软雅黑"/>
          <w:bCs/>
          <w:sz w:val="24"/>
          <w:highlight w:val="none"/>
          <w:lang w:val="en-US" w:eastAsia="zh-CN"/>
        </w:rPr>
        <w:t>。</w:t>
      </w:r>
    </w:p>
    <w:p>
      <w:pPr>
        <w:widowControl/>
        <w:jc w:val="left"/>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lang w:eastAsia="zh-CN"/>
        </w:rPr>
        <w:t>、</w:t>
      </w:r>
      <w:r>
        <w:rPr>
          <w:rFonts w:ascii="宋体" w:hAnsi="宋体"/>
          <w:sz w:val="24"/>
          <w:szCs w:val="24"/>
          <w:highlight w:val="none"/>
        </w:rPr>
        <w:t>平车升降高度：</w:t>
      </w:r>
      <w:r>
        <w:rPr>
          <w:rFonts w:hint="eastAsia" w:ascii="宋体" w:hAnsi="宋体"/>
          <w:sz w:val="24"/>
          <w:szCs w:val="24"/>
          <w:highlight w:val="none"/>
          <w:lang w:val="en-US" w:eastAsia="zh-CN"/>
        </w:rPr>
        <w:t>630-87</w:t>
      </w:r>
      <w:r>
        <w:rPr>
          <w:rFonts w:ascii="宋体" w:hAnsi="宋体"/>
          <w:sz w:val="24"/>
          <w:szCs w:val="24"/>
          <w:highlight w:val="none"/>
        </w:rPr>
        <w:t>0mm</w:t>
      </w:r>
    </w:p>
    <w:p>
      <w:pPr>
        <w:widowControl/>
        <w:jc w:val="left"/>
        <w:rPr>
          <w:rFonts w:hint="eastAsia" w:ascii="宋体" w:hAnsi="宋体" w:eastAsiaTheme="minorEastAsia"/>
          <w:sz w:val="24"/>
          <w:szCs w:val="24"/>
          <w:highlight w:val="none"/>
          <w:lang w:eastAsia="zh-CN"/>
        </w:rPr>
      </w:pP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Theme="minorEastAsia" w:hAnsiTheme="minorEastAsia" w:cstheme="minorEastAsia"/>
          <w:bCs/>
          <w:sz w:val="24"/>
          <w:highlight w:val="none"/>
        </w:rPr>
        <w:t>背部为</w:t>
      </w:r>
      <w:r>
        <w:rPr>
          <w:rFonts w:hint="eastAsia" w:asciiTheme="minorEastAsia" w:hAnsiTheme="minorEastAsia" w:cstheme="minorEastAsia"/>
          <w:bCs/>
          <w:sz w:val="24"/>
          <w:highlight w:val="none"/>
          <w:lang w:val="en-US" w:eastAsia="zh-CN"/>
        </w:rPr>
        <w:t>液压弹簧控制</w:t>
      </w:r>
      <w:r>
        <w:rPr>
          <w:rFonts w:hint="eastAsia" w:asciiTheme="minorEastAsia" w:hAnsiTheme="minorEastAsia" w:cstheme="minorEastAsia"/>
          <w:bCs/>
          <w:sz w:val="24"/>
          <w:highlight w:val="none"/>
        </w:rPr>
        <w:t>,使用背部升降限位开关拉杆，背部床板抬起，倾斜角度从 0°到 75°</w:t>
      </w:r>
      <w:r>
        <w:rPr>
          <w:rFonts w:hint="eastAsia" w:asciiTheme="minorEastAsia" w:hAnsiTheme="minorEastAsia" w:cstheme="minorEastAsia"/>
          <w:bCs/>
          <w:sz w:val="24"/>
          <w:highlight w:val="none"/>
          <w:lang w:eastAsia="zh-CN"/>
        </w:rPr>
        <w:t>。</w:t>
      </w:r>
    </w:p>
    <w:p>
      <w:pPr>
        <w:widowControl/>
        <w:jc w:val="left"/>
        <w:rPr>
          <w:rFonts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ascii="宋体" w:hAnsi="宋体"/>
          <w:sz w:val="24"/>
          <w:szCs w:val="24"/>
          <w:highlight w:val="none"/>
        </w:rPr>
        <w:t>带有</w:t>
      </w:r>
      <w:r>
        <w:rPr>
          <w:rFonts w:hint="eastAsia" w:ascii="宋体" w:hAnsi="宋体"/>
          <w:sz w:val="24"/>
          <w:szCs w:val="24"/>
          <w:highlight w:val="none"/>
          <w:lang w:val="en-US" w:eastAsia="zh-CN"/>
        </w:rPr>
        <w:t>5L</w:t>
      </w:r>
      <w:r>
        <w:rPr>
          <w:rFonts w:ascii="宋体" w:hAnsi="宋体"/>
          <w:sz w:val="24"/>
          <w:szCs w:val="24"/>
          <w:highlight w:val="none"/>
        </w:rPr>
        <w:t>氧气瓶托架，</w:t>
      </w:r>
      <w:r>
        <w:rPr>
          <w:rFonts w:hint="eastAsia" w:asciiTheme="minorEastAsia" w:hAnsiTheme="minorEastAsia" w:cstheme="minorEastAsia"/>
          <w:bCs/>
          <w:sz w:val="24"/>
          <w:highlight w:val="none"/>
          <w:lang w:val="en-US" w:eastAsia="zh-CN"/>
        </w:rPr>
        <w:t>床头床尾部配有对角输液架插孔，带有一根可</w:t>
      </w:r>
      <w:r>
        <w:rPr>
          <w:rFonts w:hint="eastAsia" w:asciiTheme="minorEastAsia" w:hAnsiTheme="minorEastAsia" w:cstheme="minorEastAsia"/>
          <w:bCs/>
          <w:sz w:val="24"/>
          <w:highlight w:val="none"/>
        </w:rPr>
        <w:t>升降输液架</w:t>
      </w:r>
      <w:r>
        <w:rPr>
          <w:rFonts w:ascii="宋体" w:hAnsi="宋体"/>
          <w:sz w:val="24"/>
          <w:szCs w:val="24"/>
          <w:highlight w:val="none"/>
        </w:rPr>
        <w:t>，方便患者</w:t>
      </w:r>
      <w:r>
        <w:rPr>
          <w:rFonts w:hint="eastAsia" w:ascii="宋体" w:hAnsi="宋体"/>
          <w:sz w:val="24"/>
          <w:szCs w:val="24"/>
          <w:highlight w:val="none"/>
          <w:lang w:val="en-US" w:eastAsia="zh-CN"/>
        </w:rPr>
        <w:t>吸氧、</w:t>
      </w:r>
      <w:r>
        <w:rPr>
          <w:rFonts w:ascii="宋体" w:hAnsi="宋体"/>
          <w:sz w:val="24"/>
          <w:szCs w:val="24"/>
          <w:highlight w:val="none"/>
        </w:rPr>
        <w:t>输液。</w:t>
      </w:r>
    </w:p>
    <w:p>
      <w:pPr>
        <w:widowControl/>
        <w:jc w:val="left"/>
        <w:rPr>
          <w:rFonts w:hint="eastAsia" w:ascii="宋体" w:hAnsi="宋体" w:eastAsiaTheme="minorEastAsia"/>
          <w:sz w:val="24"/>
          <w:szCs w:val="24"/>
          <w:lang w:eastAsia="zh-CN"/>
        </w:rPr>
      </w:pPr>
      <w:r>
        <w:rPr>
          <w:rFonts w:hint="eastAsia" w:ascii="宋体" w:hAnsi="宋体"/>
          <w:sz w:val="24"/>
          <w:szCs w:val="24"/>
          <w:lang w:val="en-US" w:eastAsia="zh-CN"/>
        </w:rPr>
        <w:t>5</w:t>
      </w:r>
      <w:r>
        <w:rPr>
          <w:rFonts w:hint="eastAsia" w:ascii="宋体" w:hAnsi="宋体"/>
          <w:sz w:val="24"/>
          <w:szCs w:val="24"/>
          <w:lang w:eastAsia="zh-CN"/>
        </w:rPr>
        <w:t>、</w:t>
      </w:r>
      <w:r>
        <w:rPr>
          <w:rFonts w:hint="eastAsia" w:asciiTheme="minorEastAsia" w:hAnsiTheme="minorEastAsia" w:cstheme="minorEastAsia"/>
          <w:bCs/>
          <w:sz w:val="24"/>
        </w:rPr>
        <w:t>全藏式ABS护拦</w:t>
      </w:r>
      <w:r>
        <w:rPr>
          <w:rFonts w:hint="eastAsia" w:asciiTheme="minorEastAsia" w:hAnsiTheme="minorEastAsia" w:cstheme="minorEastAsia"/>
          <w:bCs/>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ascii="宋体" w:hAnsi="宋体"/>
          <w:sz w:val="24"/>
          <w:szCs w:val="24"/>
          <w:highlight w:val="yellow"/>
        </w:rPr>
      </w:pPr>
      <w:r>
        <w:rPr>
          <w:rFonts w:hint="eastAsia" w:ascii="宋体" w:hAnsi="宋体"/>
          <w:sz w:val="24"/>
          <w:szCs w:val="24"/>
          <w:lang w:val="en-US" w:eastAsia="zh-CN"/>
        </w:rPr>
        <w:t>6</w:t>
      </w:r>
      <w:r>
        <w:rPr>
          <w:rFonts w:hint="eastAsia" w:ascii="宋体" w:hAnsi="宋体"/>
          <w:sz w:val="24"/>
          <w:szCs w:val="24"/>
          <w:lang w:eastAsia="zh-CN"/>
        </w:rPr>
        <w:t>、</w:t>
      </w:r>
      <w:r>
        <w:rPr>
          <w:rFonts w:hint="eastAsia" w:asciiTheme="minorEastAsia" w:hAnsiTheme="minorEastAsia" w:cstheme="minorEastAsia"/>
          <w:bCs/>
          <w:sz w:val="24"/>
        </w:rPr>
        <w:t>车上安装有四只三档中心制动万向脚轮，分别采用一脚中心制动，两定向、两万向，分三档控制，前档两轮定向运行，中档四轮万向运行，后档四轮全部制动</w:t>
      </w:r>
      <w:r>
        <w:rPr>
          <w:rFonts w:hint="eastAsia" w:asciiTheme="minorEastAsia" w:hAnsiTheme="minorEastAsia" w:cstheme="minorEastAsia"/>
          <w:bCs/>
          <w:sz w:val="24"/>
          <w:lang w:val="en-US" w:eastAsia="zh-CN"/>
        </w:rPr>
        <w:t>;车体中心底部配有第五轮，导向轮</w:t>
      </w:r>
      <w:r>
        <w:rPr>
          <w:rFonts w:hint="eastAsia" w:asciiTheme="minorEastAsia" w:hAnsiTheme="minorEastAsia" w:cstheme="minorEastAsia"/>
          <w:bCs/>
          <w:sz w:val="24"/>
        </w:rPr>
        <w:t>。</w:t>
      </w:r>
    </w:p>
    <w:p>
      <w:pPr>
        <w:widowControl/>
        <w:jc w:val="left"/>
        <w:rPr>
          <w:rFonts w:ascii="宋体" w:hAnsi="宋体"/>
          <w:sz w:val="24"/>
          <w:szCs w:val="24"/>
        </w:rPr>
      </w:pPr>
      <w:r>
        <w:rPr>
          <w:rFonts w:hint="eastAsia" w:ascii="宋体" w:hAnsi="宋体"/>
          <w:sz w:val="24"/>
          <w:szCs w:val="24"/>
          <w:lang w:val="en-US" w:eastAsia="zh-CN"/>
        </w:rPr>
        <w:t>7</w:t>
      </w:r>
      <w:r>
        <w:rPr>
          <w:rFonts w:hint="eastAsia" w:ascii="宋体" w:hAnsi="宋体"/>
          <w:sz w:val="24"/>
          <w:szCs w:val="24"/>
          <w:lang w:eastAsia="zh-CN"/>
        </w:rPr>
        <w:t>、</w:t>
      </w:r>
      <w:r>
        <w:rPr>
          <w:rFonts w:ascii="宋体" w:hAnsi="宋体"/>
          <w:sz w:val="24"/>
          <w:szCs w:val="24"/>
        </w:rPr>
        <w:t>辅助装置：</w:t>
      </w:r>
      <w:r>
        <w:rPr>
          <w:rFonts w:hint="eastAsia" w:asciiTheme="minorEastAsia" w:hAnsiTheme="minorEastAsia" w:cstheme="minorEastAsia"/>
          <w:bCs/>
          <w:sz w:val="24"/>
          <w:lang w:val="en-US" w:eastAsia="zh-CN"/>
        </w:rPr>
        <w:t>床垫厚度≥3mm，</w:t>
      </w:r>
      <w:r>
        <w:rPr>
          <w:rFonts w:hint="eastAsia" w:asciiTheme="minorEastAsia" w:hAnsiTheme="minorEastAsia" w:cstheme="minorEastAsia"/>
          <w:bCs/>
          <w:sz w:val="24"/>
        </w:rPr>
        <w:t>内置高密度海绵，防水透气，耐磨。</w:t>
      </w:r>
    </w:p>
    <w:p>
      <w:pPr>
        <w:widowControl/>
        <w:jc w:val="left"/>
        <w:rPr>
          <w:rFonts w:hint="eastAsia" w:ascii="宋体" w:hAnsi="宋体"/>
          <w:sz w:val="24"/>
          <w:szCs w:val="24"/>
          <w:lang w:val="en-US" w:eastAsia="zh-CN"/>
        </w:rPr>
      </w:pPr>
      <w:r>
        <w:rPr>
          <w:rFonts w:hint="eastAsia" w:ascii="宋体" w:hAnsi="宋体"/>
          <w:sz w:val="24"/>
          <w:szCs w:val="24"/>
          <w:lang w:val="en-US" w:eastAsia="zh-CN"/>
        </w:rPr>
        <w:t>8、样式如图</w:t>
      </w:r>
    </w:p>
    <w:p>
      <w:pPr>
        <w:jc w:val="both"/>
      </w:pPr>
      <w:r>
        <w:drawing>
          <wp:inline distT="0" distB="0" distL="114300" distR="114300">
            <wp:extent cx="3003550" cy="2984500"/>
            <wp:effectExtent l="0" t="0" r="6350" b="635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4"/>
                    <a:stretch>
                      <a:fillRect/>
                    </a:stretch>
                  </pic:blipFill>
                  <pic:spPr>
                    <a:xfrm>
                      <a:off x="0" y="0"/>
                      <a:ext cx="3003550" cy="2984500"/>
                    </a:xfrm>
                    <a:prstGeom prst="rect">
                      <a:avLst/>
                    </a:prstGeom>
                    <a:noFill/>
                    <a:ln>
                      <a:noFill/>
                    </a:ln>
                  </pic:spPr>
                </pic:pic>
              </a:graphicData>
            </a:graphic>
          </wp:inline>
        </w:drawing>
      </w:r>
    </w:p>
    <w:p>
      <w:pPr>
        <w:jc w:val="both"/>
      </w:pPr>
    </w:p>
    <w:p>
      <w:pPr>
        <w:jc w:val="both"/>
        <w:rPr>
          <w:rFonts w:hint="eastAsia"/>
        </w:rPr>
      </w:pPr>
    </w:p>
    <w:p>
      <w:pPr>
        <w:widowControl/>
        <w:jc w:val="center"/>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制氧机</w:t>
      </w:r>
    </w:p>
    <w:p>
      <w:pPr>
        <w:jc w:val="left"/>
        <w:rPr>
          <w:rFonts w:hint="eastAsia" w:asciiTheme="minorEastAsia" w:hAnsiTheme="minorEastAsia" w:eastAsiaTheme="minorEastAsia" w:cstheme="minorEastAsia"/>
          <w:color w:val="2F2F2F"/>
          <w:sz w:val="24"/>
          <w:szCs w:val="24"/>
        </w:rPr>
      </w:pPr>
      <w:r>
        <w:rPr>
          <w:rFonts w:hint="eastAsia" w:asciiTheme="majorEastAsia" w:hAnsiTheme="majorEastAsia" w:eastAsiaTheme="majorEastAsia" w:cstheme="majorEastAsia"/>
          <w:b/>
          <w:sz w:val="24"/>
          <w:szCs w:val="24"/>
          <w:lang w:val="en-US" w:eastAsia="zh-CN"/>
        </w:rPr>
        <w:t>数量2台，预算金额共12000元，质保3年</w:t>
      </w:r>
    </w:p>
    <w:p>
      <w:pPr>
        <w:jc w:val="center"/>
        <w:rPr>
          <w:rFonts w:hint="eastAsia" w:asciiTheme="majorEastAsia" w:hAnsiTheme="majorEastAsia" w:eastAsiaTheme="majorEastAsia" w:cstheme="majorEastAsia"/>
          <w:b/>
          <w:sz w:val="24"/>
          <w:szCs w:val="24"/>
        </w:rPr>
      </w:pP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rPr>
      </w:pPr>
      <w:r>
        <w:rPr>
          <w:rFonts w:hint="eastAsia" w:asciiTheme="minorEastAsia" w:hAnsiTheme="minorEastAsia" w:eastAsiaTheme="minorEastAsia" w:cstheme="minorEastAsia"/>
          <w:b/>
          <w:bCs/>
          <w:color w:val="2F2F2F"/>
          <w:sz w:val="24"/>
          <w:szCs w:val="24"/>
        </w:rPr>
        <w:t>技术参数要求</w:t>
      </w:r>
      <w:r>
        <w:rPr>
          <w:rFonts w:hint="eastAsia" w:asciiTheme="minorEastAsia" w:hAnsiTheme="minorEastAsia" w:eastAsiaTheme="minorEastAsia" w:cstheme="minorEastAsia"/>
          <w:color w:val="2F2F2F"/>
          <w:sz w:val="24"/>
          <w:szCs w:val="24"/>
        </w:rPr>
        <w:t>：</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lang w:val="en-US" w:eastAsia="zh-CN"/>
        </w:rPr>
      </w:pPr>
      <w:r>
        <w:rPr>
          <w:rFonts w:hint="eastAsia" w:asciiTheme="minorEastAsia" w:hAnsiTheme="minorEastAsia" w:eastAsiaTheme="minorEastAsia" w:cstheme="minorEastAsia"/>
          <w:color w:val="2F2F2F"/>
          <w:sz w:val="24"/>
          <w:szCs w:val="24"/>
          <w:lang w:val="en-US" w:eastAsia="zh-CN"/>
        </w:rPr>
        <w:t>1、流量≥5L，医用标准，供氧稳定。</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2、</w:t>
      </w:r>
      <w:r>
        <w:rPr>
          <w:rFonts w:hint="eastAsia" w:asciiTheme="minorEastAsia" w:hAnsiTheme="minorEastAsia" w:eastAsiaTheme="minorEastAsia" w:cstheme="minorEastAsia"/>
          <w:color w:val="2F2F2F"/>
          <w:sz w:val="24"/>
          <w:szCs w:val="24"/>
          <w:lang w:val="en-US" w:eastAsia="zh-CN"/>
        </w:rPr>
        <w:t>制氧雾化一体。</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3、</w:t>
      </w:r>
      <w:r>
        <w:rPr>
          <w:rFonts w:hint="default" w:asciiTheme="minorEastAsia" w:hAnsiTheme="minorEastAsia" w:eastAsiaTheme="minorEastAsia" w:cstheme="minorEastAsia"/>
          <w:color w:val="2F2F2F"/>
          <w:sz w:val="24"/>
          <w:szCs w:val="24"/>
          <w:lang w:val="en-US" w:eastAsia="zh-CN"/>
        </w:rPr>
        <w:t>氧气浓度高达93±3%</w:t>
      </w:r>
      <w:r>
        <w:rPr>
          <w:rFonts w:hint="eastAsia" w:asciiTheme="minorEastAsia" w:hAnsiTheme="minorEastAsia" w:eastAsiaTheme="minorEastAsia" w:cstheme="minorEastAsia"/>
          <w:color w:val="2F2F2F"/>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4、</w:t>
      </w:r>
      <w:r>
        <w:rPr>
          <w:rFonts w:hint="default" w:asciiTheme="minorEastAsia" w:hAnsiTheme="minorEastAsia" w:eastAsiaTheme="minorEastAsia" w:cstheme="minorEastAsia"/>
          <w:color w:val="2F2F2F"/>
          <w:sz w:val="24"/>
          <w:szCs w:val="24"/>
          <w:lang w:val="en-US" w:eastAsia="zh-CN"/>
        </w:rPr>
        <w:t>噪音:正面</w:t>
      </w:r>
      <w:r>
        <w:rPr>
          <w:rFonts w:hint="eastAsia" w:asciiTheme="minorEastAsia" w:hAnsiTheme="minorEastAsia" w:eastAsiaTheme="minorEastAsia" w:cstheme="minorEastAsia"/>
          <w:color w:val="2F2F2F"/>
          <w:sz w:val="24"/>
          <w:szCs w:val="24"/>
          <w:lang w:val="en-US" w:eastAsia="zh-CN"/>
        </w:rPr>
        <w:t>≤</w:t>
      </w:r>
      <w:r>
        <w:rPr>
          <w:rFonts w:hint="default" w:asciiTheme="minorEastAsia" w:hAnsiTheme="minorEastAsia" w:eastAsiaTheme="minorEastAsia" w:cstheme="minorEastAsia"/>
          <w:color w:val="2F2F2F"/>
          <w:sz w:val="24"/>
          <w:szCs w:val="24"/>
          <w:lang w:val="en-US" w:eastAsia="zh-CN"/>
        </w:rPr>
        <w:t>48dB(A)(平均)，整机</w:t>
      </w:r>
      <w:r>
        <w:rPr>
          <w:rFonts w:hint="eastAsia" w:asciiTheme="minorEastAsia" w:hAnsiTheme="minorEastAsia" w:eastAsiaTheme="minorEastAsia" w:cstheme="minorEastAsia"/>
          <w:color w:val="2F2F2F"/>
          <w:sz w:val="24"/>
          <w:szCs w:val="24"/>
          <w:lang w:val="en-US" w:eastAsia="zh-CN"/>
        </w:rPr>
        <w:t>≤</w:t>
      </w:r>
      <w:r>
        <w:rPr>
          <w:rFonts w:hint="default" w:asciiTheme="minorEastAsia" w:hAnsiTheme="minorEastAsia" w:eastAsiaTheme="minorEastAsia" w:cstheme="minorEastAsia"/>
          <w:color w:val="2F2F2F"/>
          <w:sz w:val="24"/>
          <w:szCs w:val="24"/>
          <w:lang w:val="en-US" w:eastAsia="zh-CN"/>
        </w:rPr>
        <w:t>52dB(A)(平均)</w:t>
      </w:r>
      <w:r>
        <w:rPr>
          <w:rFonts w:hint="eastAsia" w:asciiTheme="minorEastAsia" w:hAnsiTheme="minorEastAsia" w:eastAsiaTheme="minorEastAsia" w:cstheme="minorEastAsia"/>
          <w:color w:val="2F2F2F"/>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5、</w:t>
      </w:r>
      <w:r>
        <w:rPr>
          <w:rFonts w:hint="eastAsia" w:asciiTheme="minorEastAsia" w:hAnsiTheme="minorEastAsia" w:eastAsiaTheme="minorEastAsia" w:cstheme="minorEastAsia"/>
          <w:color w:val="2F2F2F"/>
          <w:sz w:val="24"/>
          <w:szCs w:val="24"/>
          <w:lang w:val="en-US" w:eastAsia="zh-CN"/>
        </w:rPr>
        <w:t>采用市电220V供电。</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6、</w:t>
      </w:r>
      <w:r>
        <w:rPr>
          <w:rFonts w:hint="default" w:asciiTheme="minorEastAsia" w:hAnsiTheme="minorEastAsia" w:eastAsiaTheme="minorEastAsia" w:cstheme="minorEastAsia"/>
          <w:color w:val="2F2F2F"/>
          <w:sz w:val="24"/>
          <w:szCs w:val="24"/>
          <w:lang w:val="en-US" w:eastAsia="zh-CN"/>
        </w:rPr>
        <w:t>高清大屏</w:t>
      </w:r>
      <w:r>
        <w:rPr>
          <w:rFonts w:hint="eastAsia" w:asciiTheme="minorEastAsia" w:hAnsiTheme="minorEastAsia" w:eastAsiaTheme="minorEastAsia" w:cstheme="minorEastAsia"/>
          <w:color w:val="2F2F2F"/>
          <w:sz w:val="24"/>
          <w:szCs w:val="24"/>
          <w:lang w:val="en-US" w:eastAsia="zh-CN"/>
        </w:rPr>
        <w:t>，遥控功能</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7、</w:t>
      </w:r>
      <w:r>
        <w:rPr>
          <w:rFonts w:hint="eastAsia" w:asciiTheme="minorEastAsia" w:hAnsiTheme="minorEastAsia" w:eastAsiaTheme="minorEastAsia" w:cstheme="minorEastAsia"/>
          <w:color w:val="2F2F2F"/>
          <w:sz w:val="24"/>
          <w:szCs w:val="24"/>
          <w:lang w:val="en-US" w:eastAsia="zh-CN"/>
        </w:rPr>
        <w:t>重量≤20KG</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default" w:asciiTheme="minorEastAsia" w:hAnsiTheme="minorEastAsia" w:eastAsiaTheme="minorEastAsia" w:cstheme="minorEastAsia"/>
          <w:color w:val="2F2F2F"/>
          <w:sz w:val="24"/>
          <w:szCs w:val="24"/>
          <w:lang w:val="en-US" w:eastAsia="zh-CN"/>
        </w:rPr>
      </w:pPr>
      <w:r>
        <w:rPr>
          <w:rFonts w:hint="eastAsia" w:asciiTheme="minorEastAsia" w:hAnsiTheme="minorEastAsia" w:cstheme="minorEastAsia"/>
          <w:color w:val="2F2F2F"/>
          <w:sz w:val="24"/>
          <w:szCs w:val="24"/>
          <w:lang w:val="en-US" w:eastAsia="zh-CN"/>
        </w:rPr>
        <w:t>8、</w:t>
      </w:r>
      <w:r>
        <w:rPr>
          <w:rFonts w:hint="eastAsia" w:asciiTheme="minorEastAsia" w:hAnsiTheme="minorEastAsia" w:eastAsiaTheme="minorEastAsia" w:cstheme="minorEastAsia"/>
          <w:color w:val="2F2F2F"/>
          <w:sz w:val="24"/>
          <w:szCs w:val="24"/>
          <w:lang w:val="en-US" w:eastAsia="zh-CN"/>
        </w:rPr>
        <w:t>带万向轮，便于移动</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lang w:eastAsia="zh-CN"/>
        </w:rPr>
      </w:pP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lang w:eastAsia="zh-CN"/>
        </w:rPr>
      </w:pP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color w:val="2F2F2F"/>
          <w:sz w:val="24"/>
          <w:szCs w:val="24"/>
          <w:lang w:eastAsia="zh-CN"/>
        </w:rPr>
      </w:pPr>
    </w:p>
    <w:p>
      <w:pPr>
        <w:widowControl/>
        <w:jc w:val="center"/>
        <w:rPr>
          <w:rFonts w:hint="eastAsia" w:ascii="宋体" w:hAnsi="宋体"/>
          <w:b/>
          <w:bCs/>
          <w:sz w:val="28"/>
          <w:szCs w:val="28"/>
          <w:highlight w:val="none"/>
          <w:lang w:val="en-US" w:eastAsia="zh-CN"/>
        </w:rPr>
      </w:pPr>
      <w:r>
        <w:rPr>
          <w:rFonts w:hint="eastAsia" w:ascii="宋体" w:hAnsi="宋体"/>
          <w:b/>
          <w:bCs/>
          <w:sz w:val="28"/>
          <w:szCs w:val="28"/>
          <w:highlight w:val="none"/>
          <w:lang w:val="en-US" w:eastAsia="zh-CN"/>
        </w:rPr>
        <w:t>叩击式振动排痰机</w:t>
      </w:r>
    </w:p>
    <w:p>
      <w:pPr>
        <w:jc w:val="left"/>
        <w:rPr>
          <w:rFonts w:hint="eastAsia" w:asciiTheme="minorEastAsia" w:hAnsiTheme="minorEastAsia" w:eastAsiaTheme="minorEastAsia" w:cstheme="minorEastAsia"/>
          <w:b/>
          <w:bCs/>
          <w:color w:val="2F2F2F"/>
          <w:sz w:val="24"/>
          <w:szCs w:val="24"/>
        </w:rPr>
      </w:pPr>
      <w:r>
        <w:rPr>
          <w:rFonts w:hint="eastAsia" w:asciiTheme="majorEastAsia" w:hAnsiTheme="majorEastAsia" w:eastAsiaTheme="majorEastAsia" w:cstheme="majorEastAsia"/>
          <w:b/>
          <w:sz w:val="24"/>
          <w:szCs w:val="24"/>
          <w:lang w:val="en-US" w:eastAsia="zh-CN"/>
        </w:rPr>
        <w:t>数量1台，预算金额40000元，质保3年</w:t>
      </w:r>
    </w:p>
    <w:p>
      <w:pPr>
        <w:keepNext w:val="0"/>
        <w:keepLines w:val="0"/>
        <w:pageBreakBefore w:val="0"/>
        <w:widowControl w:val="0"/>
        <w:kinsoku/>
        <w:wordWrap/>
        <w:overflowPunct/>
        <w:topLinePunct w:val="0"/>
        <w:autoSpaceDE/>
        <w:autoSpaceDN/>
        <w:bidi w:val="0"/>
        <w:adjustRightInd/>
        <w:snapToGrid/>
        <w:spacing w:line="15" w:lineRule="auto"/>
        <w:textAlignment w:val="auto"/>
        <w:rPr>
          <w:rFonts w:hint="eastAsia" w:asciiTheme="minorEastAsia" w:hAnsiTheme="minorEastAsia" w:eastAsiaTheme="minorEastAsia" w:cstheme="minorEastAsia"/>
          <w:b/>
          <w:bCs/>
          <w:color w:val="2F2F2F"/>
          <w:sz w:val="24"/>
          <w:szCs w:val="24"/>
        </w:rPr>
      </w:pPr>
      <w:r>
        <w:rPr>
          <w:rFonts w:hint="eastAsia" w:asciiTheme="minorEastAsia" w:hAnsiTheme="minorEastAsia" w:eastAsiaTheme="minorEastAsia" w:cstheme="minorEastAsia"/>
          <w:b/>
          <w:bCs/>
          <w:color w:val="2F2F2F"/>
          <w:sz w:val="24"/>
          <w:szCs w:val="24"/>
        </w:rPr>
        <w:t>技术参数要求：</w:t>
      </w:r>
    </w:p>
    <w:p>
      <w:pPr>
        <w:numPr>
          <w:ilvl w:val="0"/>
          <w:numId w:val="1"/>
        </w:numPr>
        <w:spacing w:line="360" w:lineRule="auto"/>
        <w:rPr>
          <w:rFonts w:ascii="宋体" w:hAnsi="宋体"/>
          <w:color w:val="000000"/>
          <w:sz w:val="24"/>
          <w:highlight w:val="none"/>
        </w:rPr>
      </w:pPr>
      <w:r>
        <w:rPr>
          <w:rFonts w:ascii="宋体" w:hAnsi="宋体"/>
          <w:color w:val="000000"/>
          <w:sz w:val="24"/>
          <w:highlight w:val="none"/>
        </w:rPr>
        <w:t>适用范围：协助术后、体弱患者增强排除呼吸系统痰液等分泌物的能力，改善淤滞的肺部血液循环状况，预防、减少呼吸系统并发症的发生</w:t>
      </w:r>
      <w:r>
        <w:rPr>
          <w:rFonts w:hint="eastAsia" w:ascii="宋体" w:hAnsi="宋体"/>
          <w:color w:val="000000"/>
          <w:sz w:val="24"/>
          <w:highlight w:val="none"/>
        </w:rPr>
        <w:t>。</w:t>
      </w:r>
    </w:p>
    <w:p>
      <w:pPr>
        <w:numPr>
          <w:ilvl w:val="0"/>
          <w:numId w:val="1"/>
        </w:numPr>
        <w:spacing w:line="360" w:lineRule="auto"/>
        <w:rPr>
          <w:rFonts w:ascii="宋体" w:hAnsi="宋体"/>
          <w:sz w:val="24"/>
          <w:highlight w:val="none"/>
        </w:rPr>
      </w:pPr>
      <w:r>
        <w:rPr>
          <w:rFonts w:ascii="宋体" w:hAnsi="宋体"/>
          <w:color w:val="000000"/>
          <w:sz w:val="24"/>
          <w:highlight w:val="none"/>
        </w:rPr>
        <w:t>主要构成：</w:t>
      </w:r>
      <w:r>
        <w:rPr>
          <w:rFonts w:ascii="宋体" w:hAnsi="宋体"/>
          <w:sz w:val="24"/>
          <w:highlight w:val="none"/>
        </w:rPr>
        <w:t>由一台主机、</w:t>
      </w:r>
      <w:r>
        <w:rPr>
          <w:rFonts w:hint="eastAsia" w:ascii="宋体" w:hAnsi="宋体"/>
          <w:sz w:val="24"/>
          <w:highlight w:val="none"/>
        </w:rPr>
        <w:t>一</w:t>
      </w:r>
      <w:r>
        <w:rPr>
          <w:rFonts w:ascii="宋体" w:hAnsi="宋体"/>
          <w:sz w:val="24"/>
          <w:highlight w:val="none"/>
        </w:rPr>
        <w:t>套传动系统和</w:t>
      </w:r>
      <w:r>
        <w:rPr>
          <w:rFonts w:hint="eastAsia" w:ascii="宋体" w:hAnsi="宋体"/>
          <w:sz w:val="24"/>
          <w:highlight w:val="none"/>
        </w:rPr>
        <w:t>一</w:t>
      </w:r>
      <w:r>
        <w:rPr>
          <w:rFonts w:ascii="宋体" w:hAnsi="宋体"/>
          <w:sz w:val="24"/>
          <w:highlight w:val="none"/>
        </w:rPr>
        <w:t>套动力输出装置（即治疗头）等组成</w:t>
      </w:r>
      <w:r>
        <w:rPr>
          <w:rFonts w:hint="eastAsia" w:ascii="宋体" w:hAnsi="宋体"/>
          <w:sz w:val="24"/>
          <w:highlight w:val="none"/>
        </w:rPr>
        <w:t>。</w:t>
      </w:r>
    </w:p>
    <w:p>
      <w:pPr>
        <w:numPr>
          <w:ilvl w:val="0"/>
          <w:numId w:val="1"/>
        </w:numPr>
        <w:spacing w:line="360" w:lineRule="auto"/>
        <w:jc w:val="left"/>
        <w:rPr>
          <w:rFonts w:ascii="宋体" w:hAnsi="宋体"/>
          <w:color w:val="000000"/>
          <w:sz w:val="24"/>
          <w:highlight w:val="none"/>
        </w:rPr>
      </w:pPr>
      <w:r>
        <w:rPr>
          <w:rFonts w:hint="eastAsia" w:ascii="宋体" w:hAnsi="宋体"/>
          <w:color w:val="000000"/>
          <w:sz w:val="24"/>
          <w:highlight w:val="none"/>
        </w:rPr>
        <w:t>双通道，可移动推车样式。</w:t>
      </w:r>
    </w:p>
    <w:p>
      <w:pPr>
        <w:numPr>
          <w:ilvl w:val="0"/>
          <w:numId w:val="1"/>
        </w:numPr>
        <w:spacing w:line="360" w:lineRule="auto"/>
        <w:jc w:val="left"/>
        <w:rPr>
          <w:rFonts w:ascii="宋体" w:hAnsi="宋体"/>
          <w:color w:val="000000"/>
          <w:sz w:val="24"/>
          <w:highlight w:val="none"/>
        </w:rPr>
      </w:pPr>
      <w:r>
        <w:rPr>
          <w:rFonts w:ascii="宋体" w:hAnsi="宋体"/>
          <w:color w:val="000000"/>
          <w:sz w:val="24"/>
          <w:highlight w:val="none"/>
        </w:rPr>
        <w:t>显示方式：液晶显示界面</w:t>
      </w:r>
      <w:r>
        <w:rPr>
          <w:rFonts w:hint="eastAsia" w:ascii="宋体" w:hAnsi="宋体"/>
          <w:color w:val="000000"/>
          <w:sz w:val="24"/>
          <w:highlight w:val="none"/>
        </w:rPr>
        <w:t>。</w:t>
      </w:r>
    </w:p>
    <w:p>
      <w:pPr>
        <w:numPr>
          <w:ilvl w:val="0"/>
          <w:numId w:val="1"/>
        </w:numPr>
        <w:spacing w:line="360" w:lineRule="auto"/>
        <w:rPr>
          <w:rFonts w:ascii="宋体" w:hAnsi="宋体"/>
          <w:color w:val="000000"/>
          <w:sz w:val="24"/>
          <w:highlight w:val="none"/>
        </w:rPr>
      </w:pPr>
      <w:r>
        <w:rPr>
          <w:rFonts w:hint="eastAsia" w:ascii="宋体" w:hAnsi="宋体"/>
          <w:color w:val="000000"/>
          <w:sz w:val="24"/>
          <w:highlight w:val="none"/>
        </w:rPr>
        <w:t>配备6种不同型号的治疗头。</w:t>
      </w:r>
    </w:p>
    <w:p>
      <w:pPr>
        <w:numPr>
          <w:ilvl w:val="0"/>
          <w:numId w:val="1"/>
        </w:numPr>
        <w:spacing w:line="360" w:lineRule="auto"/>
        <w:rPr>
          <w:rFonts w:ascii="宋体" w:hAnsi="宋体"/>
          <w:sz w:val="24"/>
          <w:highlight w:val="none"/>
        </w:rPr>
      </w:pPr>
      <w:r>
        <w:rPr>
          <w:rFonts w:hint="eastAsia" w:ascii="宋体" w:hAnsi="宋体"/>
          <w:sz w:val="24"/>
          <w:highlight w:val="none"/>
        </w:rPr>
        <w:t>具有动力补偿特性，动力补偿能力≥3Hz。</w:t>
      </w:r>
    </w:p>
    <w:p>
      <w:pPr>
        <w:numPr>
          <w:ilvl w:val="0"/>
          <w:numId w:val="1"/>
        </w:numPr>
        <w:spacing w:line="360" w:lineRule="auto"/>
        <w:rPr>
          <w:rFonts w:ascii="宋体" w:hAnsi="宋体"/>
          <w:sz w:val="24"/>
          <w:highlight w:val="none"/>
        </w:rPr>
      </w:pPr>
      <w:r>
        <w:rPr>
          <w:rFonts w:ascii="宋体" w:hAnsi="宋体"/>
          <w:sz w:val="24"/>
          <w:highlight w:val="none"/>
        </w:rPr>
        <w:t>工作模式：手动模式和自动程序模式</w:t>
      </w:r>
      <w:r>
        <w:rPr>
          <w:rFonts w:hint="eastAsia" w:ascii="宋体" w:hAnsi="宋体"/>
          <w:sz w:val="24"/>
          <w:highlight w:val="none"/>
        </w:rPr>
        <w:t>。</w:t>
      </w:r>
    </w:p>
    <w:p>
      <w:pPr>
        <w:numPr>
          <w:ilvl w:val="0"/>
          <w:numId w:val="1"/>
        </w:numPr>
        <w:autoSpaceDE w:val="0"/>
        <w:autoSpaceDN w:val="0"/>
        <w:adjustRightInd w:val="0"/>
        <w:jc w:val="left"/>
        <w:rPr>
          <w:rFonts w:ascii="宋体" w:hAnsi="宋体"/>
          <w:sz w:val="24"/>
          <w:highlight w:val="none"/>
        </w:rPr>
      </w:pPr>
      <w:r>
        <w:rPr>
          <w:rFonts w:ascii="宋体" w:hAnsi="宋体"/>
          <w:sz w:val="24"/>
          <w:highlight w:val="none"/>
        </w:rPr>
        <w:t>手动模式频率范围：10Hz</w:t>
      </w:r>
      <w:r>
        <w:rPr>
          <w:rFonts w:hint="eastAsia" w:ascii="宋体" w:hAnsi="宋体"/>
          <w:sz w:val="24"/>
          <w:highlight w:val="none"/>
        </w:rPr>
        <w:t>～</w:t>
      </w:r>
      <w:r>
        <w:rPr>
          <w:rFonts w:ascii="宋体" w:hAnsi="宋体"/>
          <w:sz w:val="24"/>
          <w:highlight w:val="none"/>
        </w:rPr>
        <w:t>60Hz</w:t>
      </w:r>
      <w:r>
        <w:rPr>
          <w:rFonts w:hint="eastAsia" w:ascii="宋体" w:hAnsi="宋体"/>
          <w:sz w:val="24"/>
          <w:highlight w:val="none"/>
        </w:rPr>
        <w:t>，频率连续可调，步距为</w:t>
      </w:r>
      <w:r>
        <w:rPr>
          <w:rFonts w:ascii="宋体" w:hAnsi="宋体"/>
          <w:sz w:val="24"/>
          <w:highlight w:val="none"/>
        </w:rPr>
        <w:t>1Hz</w:t>
      </w:r>
      <w:r>
        <w:rPr>
          <w:rFonts w:hint="eastAsia" w:ascii="宋体" w:hAnsi="宋体"/>
          <w:sz w:val="24"/>
          <w:highlight w:val="none"/>
        </w:rPr>
        <w:t>。</w:t>
      </w:r>
    </w:p>
    <w:p>
      <w:pPr>
        <w:numPr>
          <w:ilvl w:val="0"/>
          <w:numId w:val="1"/>
        </w:numPr>
        <w:spacing w:line="360" w:lineRule="auto"/>
        <w:rPr>
          <w:rFonts w:ascii="宋体" w:hAnsi="宋体"/>
          <w:sz w:val="24"/>
          <w:highlight w:val="none"/>
        </w:rPr>
      </w:pPr>
      <w:r>
        <w:rPr>
          <w:rFonts w:ascii="宋体" w:hAnsi="宋体"/>
          <w:sz w:val="24"/>
          <w:highlight w:val="none"/>
        </w:rPr>
        <w:t>手动模式定时范围：1min-60min，连续可调，步距1min</w:t>
      </w:r>
      <w:r>
        <w:rPr>
          <w:rFonts w:hint="eastAsia" w:ascii="宋体" w:hAnsi="宋体"/>
          <w:sz w:val="24"/>
          <w:highlight w:val="none"/>
        </w:rPr>
        <w:t>。</w:t>
      </w:r>
    </w:p>
    <w:p>
      <w:pPr>
        <w:numPr>
          <w:ilvl w:val="0"/>
          <w:numId w:val="1"/>
        </w:numPr>
        <w:spacing w:line="360" w:lineRule="auto"/>
        <w:rPr>
          <w:rFonts w:ascii="宋体" w:hAnsi="宋体"/>
          <w:sz w:val="24"/>
          <w:highlight w:val="none"/>
        </w:rPr>
      </w:pPr>
      <w:r>
        <w:rPr>
          <w:rFonts w:ascii="宋体" w:hAnsi="宋体"/>
          <w:sz w:val="24"/>
          <w:highlight w:val="none"/>
        </w:rPr>
        <w:t>自动程序模式：共有四种自动程序模式</w:t>
      </w:r>
      <w:r>
        <w:rPr>
          <w:rFonts w:hint="eastAsia" w:ascii="宋体" w:hAnsi="宋体"/>
          <w:sz w:val="24"/>
          <w:highlight w:val="none"/>
        </w:rPr>
        <w:t>。</w:t>
      </w:r>
    </w:p>
    <w:p>
      <w:pPr>
        <w:numPr>
          <w:ilvl w:val="0"/>
          <w:numId w:val="1"/>
        </w:numPr>
        <w:spacing w:line="360" w:lineRule="auto"/>
        <w:rPr>
          <w:rFonts w:ascii="宋体" w:hAnsi="宋体"/>
          <w:sz w:val="24"/>
          <w:highlight w:val="none"/>
        </w:rPr>
      </w:pPr>
      <w:r>
        <w:rPr>
          <w:rFonts w:ascii="宋体" w:hAnsi="宋体"/>
          <w:sz w:val="24"/>
          <w:highlight w:val="none"/>
        </w:rPr>
        <w:t>自动模式定时范围：5min、10min、15min、20min</w:t>
      </w:r>
      <w:r>
        <w:rPr>
          <w:rFonts w:hint="eastAsia" w:ascii="宋体" w:hAnsi="宋体"/>
          <w:sz w:val="24"/>
          <w:highlight w:val="none"/>
        </w:rPr>
        <w:t>。</w:t>
      </w:r>
    </w:p>
    <w:p>
      <w:pPr>
        <w:jc w:val="center"/>
        <w:rPr>
          <w:rFonts w:hint="eastAsia" w:asciiTheme="majorEastAsia" w:hAnsiTheme="majorEastAsia" w:eastAsiaTheme="majorEastAsia" w:cstheme="majorEastAsia"/>
          <w:b/>
          <w:sz w:val="24"/>
          <w:szCs w:val="24"/>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default"/>
          <w:lang w:val="en-US" w:eastAsia="zh-CN"/>
        </w:rPr>
      </w:pPr>
    </w:p>
    <w:p>
      <w:pPr>
        <w:rPr>
          <w:rFonts w:hint="default"/>
          <w:lang w:val="en-US" w:eastAsia="zh-CN"/>
        </w:rPr>
      </w:pPr>
      <w:r>
        <w:rPr>
          <w:rFonts w:hint="eastAsia" w:cstheme="minorBidi"/>
          <w:color w:val="FF0000"/>
          <w:kern w:val="2"/>
          <w:sz w:val="21"/>
          <w:szCs w:val="24"/>
          <w:lang w:val="en-US" w:eastAsia="zh-CN" w:bidi="ar-SA"/>
        </w:rPr>
        <w:t>附件5：</w:t>
      </w:r>
      <w:r>
        <w:rPr>
          <w:rFonts w:hint="eastAsia"/>
          <w:lang w:val="en-US" w:eastAsia="zh-CN"/>
        </w:rPr>
        <w:t>诚信承诺书</w:t>
      </w:r>
    </w:p>
    <w:p>
      <w:pPr>
        <w:widowControl/>
        <w:spacing w:before="100" w:beforeAutospacing="1" w:after="100" w:afterAutospacing="1"/>
        <w:jc w:val="center"/>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诚信承诺书</w:t>
      </w: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cstheme="minorEastAsia"/>
          <w:kern w:val="0"/>
          <w:sz w:val="24"/>
          <w:szCs w:val="24"/>
          <w:highlight w:val="none"/>
          <w:lang w:val="en-US" w:eastAsia="zh-CN"/>
        </w:rPr>
        <w:t>本单位</w:t>
      </w:r>
      <w:r>
        <w:rPr>
          <w:rFonts w:hint="eastAsia" w:asciiTheme="minorEastAsia" w:hAnsiTheme="minorEastAsia" w:eastAsiaTheme="minorEastAsia" w:cstheme="minorEastAsia"/>
          <w:kern w:val="0"/>
          <w:sz w:val="24"/>
          <w:szCs w:val="24"/>
          <w:highlight w:val="none"/>
        </w:rPr>
        <w:t>郑重承诺：</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一、</w:t>
      </w:r>
      <w:r>
        <w:rPr>
          <w:rFonts w:hint="eastAsia" w:asciiTheme="minorEastAsia" w:hAnsiTheme="minorEastAsia" w:cstheme="minorEastAsia"/>
          <w:kern w:val="0"/>
          <w:sz w:val="24"/>
          <w:szCs w:val="24"/>
          <w:highlight w:val="none"/>
          <w:lang w:val="en-US" w:eastAsia="zh-CN"/>
        </w:rPr>
        <w:t>我单位严格</w:t>
      </w:r>
      <w:r>
        <w:rPr>
          <w:rFonts w:hint="eastAsia" w:asciiTheme="minorEastAsia" w:hAnsiTheme="minorEastAsia" w:eastAsiaTheme="minorEastAsia" w:cstheme="minorEastAsia"/>
          <w:kern w:val="0"/>
          <w:sz w:val="24"/>
          <w:szCs w:val="24"/>
          <w:highlight w:val="none"/>
        </w:rPr>
        <w:t>遵循公开、</w:t>
      </w:r>
      <w:r>
        <w:rPr>
          <w:rFonts w:hint="eastAsia" w:asciiTheme="minorEastAsia" w:hAnsiTheme="minorEastAsia" w:cstheme="minorEastAsia"/>
          <w:kern w:val="0"/>
          <w:sz w:val="24"/>
          <w:szCs w:val="24"/>
          <w:highlight w:val="none"/>
          <w:lang w:val="en-US" w:eastAsia="zh-CN"/>
        </w:rPr>
        <w:t>公平、</w:t>
      </w:r>
      <w:r>
        <w:rPr>
          <w:rFonts w:hint="eastAsia" w:asciiTheme="minorEastAsia" w:hAnsiTheme="minorEastAsia" w:eastAsiaTheme="minorEastAsia" w:cstheme="minorEastAsia"/>
          <w:kern w:val="0"/>
          <w:sz w:val="24"/>
          <w:szCs w:val="24"/>
          <w:highlight w:val="none"/>
        </w:rPr>
        <w:t>公正</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诚实信用的原则自愿参加</w:t>
      </w:r>
      <w:r>
        <w:rPr>
          <w:rFonts w:hint="eastAsia" w:asciiTheme="minorEastAsia" w:hAnsiTheme="minorEastAsia" w:cstheme="minorEastAsia"/>
          <w:kern w:val="0"/>
          <w:sz w:val="24"/>
          <w:szCs w:val="24"/>
          <w:highlight w:val="none"/>
          <w:lang w:val="en-US" w:eastAsia="zh-CN"/>
        </w:rPr>
        <w:t>本</w:t>
      </w:r>
      <w:r>
        <w:rPr>
          <w:rFonts w:hint="eastAsia" w:asciiTheme="minorEastAsia" w:hAnsiTheme="minorEastAsia" w:eastAsiaTheme="minorEastAsia" w:cstheme="minorEastAsia"/>
          <w:kern w:val="0"/>
          <w:sz w:val="24"/>
          <w:szCs w:val="24"/>
          <w:highlight w:val="none"/>
        </w:rPr>
        <w:t>项目的投标</w:t>
      </w:r>
      <w:r>
        <w:rPr>
          <w:rFonts w:hint="eastAsia" w:asciiTheme="minorEastAsia" w:hAnsiTheme="minorEastAsia" w:cstheme="minorEastAsia"/>
          <w:kern w:val="0"/>
          <w:sz w:val="24"/>
          <w:szCs w:val="24"/>
          <w:highlight w:val="none"/>
          <w:lang w:val="en-US" w:eastAsia="zh-CN"/>
        </w:rPr>
        <w:t>活动</w:t>
      </w:r>
      <w:r>
        <w:rPr>
          <w:rFonts w:hint="eastAsia" w:asciiTheme="minorEastAsia" w:hAnsiTheme="minorEastAsia" w:cstheme="minorEastAsia"/>
          <w:kern w:val="0"/>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二、</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提供的一切材料真实、有效、合法</w:t>
      </w:r>
      <w:r>
        <w:rPr>
          <w:rFonts w:hint="eastAsia" w:asciiTheme="minorEastAsia" w:hAnsiTheme="minorEastAsia" w:cstheme="minorEastAsia"/>
          <w:kern w:val="0"/>
          <w:sz w:val="24"/>
          <w:szCs w:val="24"/>
          <w:highlight w:val="none"/>
          <w:lang w:eastAsia="zh-CN"/>
        </w:rPr>
        <w:t>；</w:t>
      </w:r>
      <w:r>
        <w:rPr>
          <w:rStyle w:val="4"/>
          <w:rFonts w:hint="eastAsia" w:asciiTheme="minorEastAsia" w:hAnsiTheme="minorEastAsia" w:eastAsiaTheme="minorEastAsia" w:cstheme="minorEastAsia"/>
          <w:sz w:val="24"/>
          <w:szCs w:val="24"/>
          <w:highlight w:val="none"/>
        </w:rPr>
        <w:t>如发现提供虚假资料，或与事实不符而导致投标无效，甚至造成任何法律和经济责任，完全由我方负责</w:t>
      </w:r>
      <w:r>
        <w:rPr>
          <w:rStyle w:val="4"/>
          <w:rFonts w:hint="eastAsia" w:asciiTheme="minorEastAsia" w:hAnsiTheme="minorEastAsia" w:cstheme="minorEastAsia"/>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三、</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不出借、转让资质证书，不让他人挂靠投标，不以他人名义投标或者以其他方式弄虚作假，骗取中标</w:t>
      </w:r>
      <w:r>
        <w:rPr>
          <w:rFonts w:hint="eastAsia" w:asciiTheme="minorEastAsia" w:hAnsiTheme="minorEastAsia" w:cstheme="minorEastAsia"/>
          <w:kern w:val="0"/>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kern w:val="0"/>
          <w:sz w:val="24"/>
          <w:szCs w:val="24"/>
          <w:highlight w:val="none"/>
          <w:lang w:val="en-US" w:eastAsia="zh-CN"/>
        </w:rPr>
        <w:t>四、我方未</w:t>
      </w:r>
      <w:r>
        <w:rPr>
          <w:rFonts w:hint="eastAsia" w:asciiTheme="minorEastAsia" w:hAnsiTheme="minorEastAsia" w:eastAsiaTheme="minorEastAsia" w:cstheme="minorEastAsia"/>
          <w:sz w:val="24"/>
          <w:szCs w:val="24"/>
          <w:highlight w:val="none"/>
          <w:lang w:val="en-US" w:eastAsia="zh-CN"/>
        </w:rPr>
        <w:t>与本项目的其他供应商存在控股、管理关系；</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为本项目提供过设计、编制技术规范和其他文件的咨询服务；</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五</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不与其他投标人相互串标</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围标，不恶意压低或抬高投标报价</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不排挤其他投标人</w:t>
      </w:r>
      <w:r>
        <w:rPr>
          <w:rFonts w:hint="eastAsia" w:asciiTheme="minorEastAsia" w:hAnsiTheme="minorEastAsia" w:cstheme="minorEastAsia"/>
          <w:kern w:val="0"/>
          <w:sz w:val="24"/>
          <w:szCs w:val="24"/>
          <w:highlight w:val="none"/>
          <w:lang w:eastAsia="zh-CN"/>
        </w:rPr>
        <w:t>的</w:t>
      </w:r>
      <w:r>
        <w:rPr>
          <w:rFonts w:hint="eastAsia" w:asciiTheme="minorEastAsia" w:hAnsiTheme="minorEastAsia" w:cstheme="minorEastAsia"/>
          <w:kern w:val="0"/>
          <w:sz w:val="24"/>
          <w:szCs w:val="24"/>
          <w:highlight w:val="none"/>
          <w:lang w:val="en-US" w:eastAsia="zh-CN"/>
        </w:rPr>
        <w:t>公平竞争</w:t>
      </w:r>
      <w:r>
        <w:rPr>
          <w:rFonts w:hint="eastAsia" w:asciiTheme="minorEastAsia" w:hAnsiTheme="minorEastAsia" w:eastAsiaTheme="minorEastAsia" w:cstheme="minorEastAsia"/>
          <w:kern w:val="0"/>
          <w:sz w:val="24"/>
          <w:szCs w:val="24"/>
          <w:highlight w:val="none"/>
        </w:rPr>
        <w:t>、损害招标人的合法权益</w:t>
      </w:r>
      <w:r>
        <w:rPr>
          <w:rFonts w:hint="eastAsia" w:asciiTheme="minorEastAsia" w:hAnsiTheme="minorEastAsia" w:cstheme="minorEastAsia"/>
          <w:kern w:val="0"/>
          <w:sz w:val="24"/>
          <w:szCs w:val="24"/>
          <w:highlight w:val="none"/>
          <w:lang w:eastAsia="zh-CN"/>
        </w:rPr>
        <w:t>；</w:t>
      </w:r>
      <w:r>
        <w:rPr>
          <w:rStyle w:val="4"/>
          <w:rFonts w:hint="eastAsia" w:asciiTheme="minorEastAsia" w:hAnsiTheme="minorEastAsia" w:eastAsiaTheme="minorEastAsia" w:cstheme="minorEastAsia"/>
          <w:sz w:val="24"/>
          <w:szCs w:val="24"/>
          <w:highlight w:val="none"/>
        </w:rPr>
        <w:t>若经贵方查出，立即取消我方投标资格并承担相应的法律责任</w:t>
      </w:r>
      <w:r>
        <w:rPr>
          <w:rStyle w:val="4"/>
          <w:rFonts w:hint="eastAsia" w:asciiTheme="minorEastAsia" w:hAnsiTheme="minorEastAsia" w:cstheme="minorEastAsia"/>
          <w:sz w:val="24"/>
          <w:szCs w:val="24"/>
          <w:highlight w:val="none"/>
          <w:lang w:eastAsia="zh-CN"/>
        </w:rPr>
        <w:t>；</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六</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不与招标人、招标代理机构或其他投标人串通投标，损害国家利益、社会公共利益或者他人的合法权益</w:t>
      </w:r>
      <w:r>
        <w:rPr>
          <w:rFonts w:hint="eastAsia" w:asciiTheme="minorEastAsia" w:hAnsiTheme="minorEastAsia" w:cstheme="minorEastAsia"/>
          <w:kern w:val="0"/>
          <w:sz w:val="24"/>
          <w:szCs w:val="24"/>
          <w:highlight w:val="none"/>
          <w:lang w:eastAsia="zh-CN"/>
        </w:rPr>
        <w:t>；</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Style w:val="4"/>
          <w:rFonts w:hint="eastAsia" w:asciiTheme="minorEastAsia" w:hAnsiTheme="minorEastAsia" w:cstheme="minorEastAsia"/>
          <w:color w:val="auto"/>
          <w:sz w:val="24"/>
          <w:szCs w:val="24"/>
          <w:highlight w:val="none"/>
          <w:lang w:val="en-US" w:eastAsia="zh-CN"/>
        </w:rPr>
        <w:t>七</w:t>
      </w:r>
      <w:r>
        <w:rPr>
          <w:rStyle w:val="4"/>
          <w:rFonts w:hint="eastAsia" w:asciiTheme="minorEastAsia" w:hAnsiTheme="minorEastAsia" w:eastAsiaTheme="minorEastAsia" w:cstheme="minorEastAsia"/>
          <w:color w:val="auto"/>
          <w:sz w:val="24"/>
          <w:szCs w:val="24"/>
          <w:highlight w:val="none"/>
          <w:lang w:eastAsia="zh-CN"/>
        </w:rPr>
        <w:t>、</w:t>
      </w:r>
      <w:r>
        <w:rPr>
          <w:rStyle w:val="4"/>
          <w:rFonts w:hint="eastAsia" w:asciiTheme="minorEastAsia" w:hAnsiTheme="minorEastAsia" w:cstheme="minorEastAsia"/>
          <w:color w:val="auto"/>
          <w:sz w:val="24"/>
          <w:szCs w:val="24"/>
          <w:highlight w:val="none"/>
          <w:lang w:val="en-US" w:eastAsia="zh-CN"/>
        </w:rPr>
        <w:t>我方</w:t>
      </w:r>
      <w:r>
        <w:rPr>
          <w:rStyle w:val="4"/>
          <w:rFonts w:hint="eastAsia" w:asciiTheme="minorEastAsia" w:hAnsiTheme="minorEastAsia" w:cstheme="minorEastAsia"/>
          <w:color w:val="auto"/>
          <w:sz w:val="24"/>
          <w:szCs w:val="24"/>
          <w:highlight w:val="none"/>
          <w:lang w:eastAsia="zh-CN"/>
        </w:rPr>
        <w:t>在投标活动前三年内</w:t>
      </w:r>
      <w:r>
        <w:rPr>
          <w:rStyle w:val="4"/>
          <w:rFonts w:hint="eastAsia" w:asciiTheme="minorEastAsia" w:hAnsiTheme="minorEastAsia" w:eastAsiaTheme="minorEastAsia" w:cstheme="minorEastAsia"/>
          <w:color w:val="auto"/>
          <w:sz w:val="24"/>
          <w:szCs w:val="24"/>
          <w:highlight w:val="none"/>
        </w:rPr>
        <w:t>无重大违法、违规的不良记录</w:t>
      </w:r>
      <w:r>
        <w:rPr>
          <w:rStyle w:val="4"/>
          <w:rFonts w:hint="eastAsia" w:asciiTheme="minorEastAsia" w:hAnsiTheme="minorEastAsia" w:eastAsiaTheme="minorEastAsia" w:cstheme="minorEastAsia"/>
          <w:color w:val="auto"/>
          <w:sz w:val="24"/>
          <w:szCs w:val="24"/>
          <w:highlight w:val="none"/>
          <w:lang w:eastAsia="zh-CN"/>
        </w:rPr>
        <w:t>、无产品重大质量问题</w:t>
      </w:r>
      <w:r>
        <w:rPr>
          <w:rFonts w:hint="eastAsia" w:asciiTheme="minorEastAsia" w:hAnsiTheme="minorEastAsia" w:eastAsiaTheme="minorEastAsia" w:cstheme="minorEastAsia"/>
          <w:color w:val="auto"/>
          <w:sz w:val="24"/>
          <w:szCs w:val="24"/>
          <w:highlight w:val="none"/>
          <w:lang w:val="en-US" w:eastAsia="zh-CN"/>
        </w:rPr>
        <w:t>（以相关行业主管部门的行政处罚决定或司法机关出具的有关法律文书为准）；</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Style w:val="4"/>
          <w:rFonts w:hint="eastAsia" w:asciiTheme="minorEastAsia" w:hAnsiTheme="minorEastAsia" w:cstheme="minorEastAsia"/>
          <w:sz w:val="24"/>
          <w:szCs w:val="24"/>
          <w:highlight w:val="none"/>
          <w:lang w:val="en-US" w:eastAsia="zh-CN"/>
        </w:rPr>
        <w:t>八</w:t>
      </w:r>
      <w:r>
        <w:rPr>
          <w:rStyle w:val="4"/>
          <w:rFonts w:hint="eastAsia" w:asciiTheme="minorEastAsia" w:hAnsiTheme="minorEastAsia" w:eastAsiaTheme="minorEastAsia" w:cstheme="minorEastAsia"/>
          <w:sz w:val="24"/>
          <w:szCs w:val="24"/>
          <w:highlight w:val="none"/>
          <w:lang w:eastAsia="zh-CN"/>
        </w:rPr>
        <w:t>、</w:t>
      </w:r>
      <w:r>
        <w:rPr>
          <w:rStyle w:val="4"/>
          <w:rFonts w:hint="eastAsia" w:asciiTheme="minorEastAsia" w:hAnsiTheme="minorEastAsia" w:cstheme="minorEastAsia"/>
          <w:sz w:val="24"/>
          <w:szCs w:val="24"/>
          <w:highlight w:val="none"/>
          <w:lang w:val="en-US" w:eastAsia="zh-CN"/>
        </w:rPr>
        <w:t>我方</w:t>
      </w:r>
      <w:r>
        <w:rPr>
          <w:rStyle w:val="4"/>
          <w:rFonts w:hint="eastAsia" w:asciiTheme="minorEastAsia" w:hAnsiTheme="minorEastAsia" w:eastAsiaTheme="minorEastAsia" w:cstheme="minorEastAsia"/>
          <w:sz w:val="24"/>
          <w:szCs w:val="24"/>
          <w:highlight w:val="none"/>
        </w:rPr>
        <w:t>未被地市级及其以上行政主管部门做出取消投标资格的处罚且该处罚在有效期内</w:t>
      </w:r>
      <w:r>
        <w:rPr>
          <w:rStyle w:val="4"/>
          <w:rFonts w:hint="eastAsia" w:asciiTheme="minorEastAsia" w:hAnsiTheme="minorEastAsia" w:cstheme="minorEastAsia"/>
          <w:sz w:val="24"/>
          <w:szCs w:val="24"/>
          <w:highlight w:val="none"/>
          <w:lang w:eastAsia="zh-CN"/>
        </w:rPr>
        <w:t>；</w:t>
      </w:r>
      <w:r>
        <w:rPr>
          <w:rStyle w:val="4"/>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被责令停产停业、暂扣或者吊销许可证、暂扣或者吊销执照；</w:t>
      </w:r>
      <w:r>
        <w:rPr>
          <w:rFonts w:hint="eastAsia" w:asciiTheme="minorEastAsia" w:hAnsiTheme="minorEastAsia" w:cstheme="minorEastAsia"/>
          <w:sz w:val="24"/>
          <w:szCs w:val="24"/>
          <w:highlight w:val="none"/>
          <w:lang w:val="en-US" w:eastAsia="zh-CN"/>
        </w:rPr>
        <w:t>未被</w:t>
      </w:r>
      <w:r>
        <w:rPr>
          <w:rFonts w:hint="eastAsia" w:asciiTheme="minorEastAsia" w:hAnsiTheme="minorEastAsia" w:eastAsiaTheme="minorEastAsia" w:cstheme="minorEastAsia"/>
          <w:sz w:val="24"/>
          <w:szCs w:val="24"/>
          <w:highlight w:val="none"/>
          <w:lang w:val="en-US" w:eastAsia="zh-CN"/>
        </w:rPr>
        <w:t>进入清算程序</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或被宣告破产</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或其他丧失履约能力的情形；</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九</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被工商行政管理机关在全国企业信用信息公示系统中列入严重违法失信企业名单；</w:t>
      </w:r>
      <w:r>
        <w:rPr>
          <w:rFonts w:hint="eastAsia" w:asciiTheme="minorEastAsia" w:hAnsiTheme="minorEastAsia" w:eastAsiaTheme="minorEastAsia" w:cstheme="minorEastAsia"/>
          <w:kern w:val="0"/>
          <w:sz w:val="24"/>
          <w:szCs w:val="24"/>
          <w:highlight w:val="none"/>
          <w:lang w:val="en-US" w:eastAsia="zh-CN"/>
        </w:rPr>
        <w:t>在“信用中国”网站（www.creditchina.gov.cn）</w:t>
      </w:r>
      <w:r>
        <w:rPr>
          <w:rFonts w:hint="eastAsia" w:asciiTheme="minorEastAsia" w:hAnsiTheme="minorEastAsia" w:cstheme="minorEastAsia"/>
          <w:kern w:val="0"/>
          <w:sz w:val="24"/>
          <w:szCs w:val="24"/>
          <w:highlight w:val="none"/>
          <w:lang w:val="en-US" w:eastAsia="zh-CN"/>
        </w:rPr>
        <w:t>、</w:t>
      </w:r>
      <w:r>
        <w:rPr>
          <w:rFonts w:hint="eastAsia" w:asciiTheme="minorEastAsia" w:hAnsiTheme="minorEastAsia" w:eastAsiaTheme="minorEastAsia" w:cstheme="minorEastAsia"/>
          <w:kern w:val="0"/>
          <w:sz w:val="24"/>
          <w:szCs w:val="24"/>
          <w:highlight w:val="none"/>
          <w:lang w:val="en-US" w:eastAsia="zh-CN"/>
        </w:rPr>
        <w:t>中国政府采购网（www.ccgp.gov.cn）中</w:t>
      </w:r>
      <w:r>
        <w:rPr>
          <w:rFonts w:hint="eastAsia" w:asciiTheme="minorEastAsia" w:hAnsiTheme="minorEastAsia" w:cstheme="minorEastAsia"/>
          <w:kern w:val="0"/>
          <w:sz w:val="24"/>
          <w:szCs w:val="24"/>
          <w:highlight w:val="none"/>
          <w:lang w:val="en-US" w:eastAsia="zh-CN"/>
        </w:rPr>
        <w:t>未</w:t>
      </w:r>
      <w:r>
        <w:rPr>
          <w:rFonts w:hint="eastAsia" w:asciiTheme="minorEastAsia" w:hAnsiTheme="minorEastAsia" w:eastAsiaTheme="minorEastAsia" w:cstheme="minorEastAsia"/>
          <w:kern w:val="0"/>
          <w:sz w:val="24"/>
          <w:szCs w:val="24"/>
          <w:highlight w:val="none"/>
          <w:lang w:val="en-US" w:eastAsia="zh-CN"/>
        </w:rPr>
        <w:t>列入失信被执行人名单；</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rPr>
        <w:t>十、</w:t>
      </w:r>
      <w:r>
        <w:rPr>
          <w:rFonts w:hint="eastAsia" w:asciiTheme="minorEastAsia" w:hAnsiTheme="minorEastAsia" w:cstheme="minorEastAsia"/>
          <w:kern w:val="0"/>
          <w:sz w:val="24"/>
          <w:szCs w:val="24"/>
          <w:highlight w:val="none"/>
          <w:lang w:val="en-US" w:eastAsia="zh-CN"/>
        </w:rPr>
        <w:t>我单位承诺</w:t>
      </w:r>
      <w:r>
        <w:rPr>
          <w:rFonts w:hint="eastAsia" w:asciiTheme="minorEastAsia" w:hAnsiTheme="minorEastAsia" w:eastAsiaTheme="minorEastAsia" w:cstheme="minorEastAsia"/>
          <w:kern w:val="0"/>
          <w:sz w:val="24"/>
          <w:szCs w:val="24"/>
          <w:highlight w:val="none"/>
          <w:lang w:val="en-US" w:eastAsia="zh-CN"/>
        </w:rPr>
        <w:t>不向贵单位负责本项目的领导及相关人员进行利益输送；严格执行亲属回避制度，</w:t>
      </w:r>
      <w:r>
        <w:rPr>
          <w:rFonts w:hint="eastAsia" w:asciiTheme="minorEastAsia" w:hAnsiTheme="minorEastAsia" w:cstheme="minorEastAsia"/>
          <w:kern w:val="0"/>
          <w:sz w:val="24"/>
          <w:szCs w:val="24"/>
          <w:highlight w:val="none"/>
          <w:lang w:val="en-US" w:eastAsia="zh-CN"/>
        </w:rPr>
        <w:t>如</w:t>
      </w:r>
      <w:r>
        <w:rPr>
          <w:rFonts w:hint="eastAsia" w:asciiTheme="minorEastAsia" w:hAnsiTheme="minorEastAsia" w:eastAsiaTheme="minorEastAsia" w:cstheme="minorEastAsia"/>
          <w:kern w:val="0"/>
          <w:sz w:val="24"/>
          <w:szCs w:val="24"/>
          <w:highlight w:val="none"/>
          <w:lang w:val="en-US" w:eastAsia="zh-CN"/>
        </w:rPr>
        <w:t>贵单位负责本项目相关人员的配偶、子女及其配偶和其他直接利益相关人员为本单位工作人员的，</w:t>
      </w:r>
      <w:r>
        <w:rPr>
          <w:rFonts w:hint="eastAsia" w:asciiTheme="minorEastAsia" w:hAnsiTheme="minorEastAsia" w:cstheme="minorEastAsia"/>
          <w:kern w:val="0"/>
          <w:sz w:val="24"/>
          <w:szCs w:val="24"/>
          <w:highlight w:val="none"/>
          <w:lang w:val="en-US" w:eastAsia="zh-CN"/>
        </w:rPr>
        <w:t>我方</w:t>
      </w:r>
      <w:r>
        <w:rPr>
          <w:rFonts w:hint="eastAsia" w:asciiTheme="minorEastAsia" w:hAnsiTheme="minorEastAsia" w:eastAsiaTheme="minorEastAsia" w:cstheme="minorEastAsia"/>
          <w:kern w:val="0"/>
          <w:sz w:val="24"/>
          <w:szCs w:val="24"/>
          <w:highlight w:val="none"/>
          <w:lang w:val="en-US" w:eastAsia="zh-CN"/>
        </w:rPr>
        <w:t xml:space="preserve">不参与本项目投标活动；    </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十</w:t>
      </w:r>
      <w:r>
        <w:rPr>
          <w:rFonts w:hint="eastAsia" w:asciiTheme="minorEastAsia" w:hAnsi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我方</w:t>
      </w:r>
      <w:r>
        <w:rPr>
          <w:rFonts w:hint="eastAsia" w:asciiTheme="minorEastAsia" w:hAnsiTheme="minorEastAsia" w:eastAsiaTheme="minorEastAsia" w:cstheme="minorEastAsia"/>
          <w:sz w:val="24"/>
          <w:szCs w:val="24"/>
          <w:highlight w:val="none"/>
          <w:lang w:val="en-US" w:eastAsia="zh-CN"/>
        </w:rPr>
        <w:t>如在投标过程和公示期间发生</w:t>
      </w:r>
      <w:r>
        <w:rPr>
          <w:rFonts w:hint="eastAsia" w:asciiTheme="minorEastAsia" w:hAnsiTheme="minorEastAsia" w:cstheme="minorEastAsia"/>
          <w:sz w:val="24"/>
          <w:szCs w:val="24"/>
          <w:highlight w:val="none"/>
          <w:lang w:val="en-US" w:eastAsia="zh-CN"/>
        </w:rPr>
        <w:t>质疑</w:t>
      </w:r>
      <w:r>
        <w:rPr>
          <w:rFonts w:hint="eastAsia" w:asciiTheme="minorEastAsia" w:hAnsiTheme="minorEastAsia" w:eastAsiaTheme="minorEastAsia" w:cstheme="minorEastAsia"/>
          <w:sz w:val="24"/>
          <w:szCs w:val="24"/>
          <w:highlight w:val="none"/>
          <w:lang w:val="en-US" w:eastAsia="zh-CN"/>
        </w:rPr>
        <w:t>投诉行为，保证</w:t>
      </w:r>
      <w:r>
        <w:rPr>
          <w:rFonts w:hint="eastAsia" w:asciiTheme="minorEastAsia" w:hAnsiTheme="minorEastAsia" w:cstheme="minorEastAsia"/>
          <w:sz w:val="24"/>
          <w:szCs w:val="24"/>
          <w:highlight w:val="none"/>
          <w:lang w:val="en-US" w:eastAsia="zh-CN"/>
        </w:rPr>
        <w:t>严格</w:t>
      </w:r>
      <w:r>
        <w:rPr>
          <w:rFonts w:hint="eastAsia" w:asciiTheme="minorEastAsia" w:hAnsiTheme="minorEastAsia" w:eastAsiaTheme="minorEastAsia" w:cstheme="minorEastAsia"/>
          <w:sz w:val="24"/>
          <w:szCs w:val="24"/>
          <w:highlight w:val="none"/>
          <w:lang w:val="en-US" w:eastAsia="zh-CN"/>
        </w:rPr>
        <w:t>按照政府采购相关规定和《政府采购质疑和投诉办法》（财政部令第 94 号）以及《关于印发山东省政府采购质疑与投诉实施办法》（鲁财采[2018]72 号）的要求在法定时限内如实填写质疑信息，并提供规定格式的质疑函等</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投诉内容符合要求，投诉材料加盖企业公章或由法定代表人授权委托人签字，并附有关身份证明复印件</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kern w:val="0"/>
          <w:sz w:val="24"/>
          <w:szCs w:val="24"/>
          <w:highlight w:val="none"/>
        </w:rPr>
        <w:t>不在</w:t>
      </w:r>
      <w:r>
        <w:rPr>
          <w:rFonts w:hint="eastAsia" w:asciiTheme="minorEastAsia" w:hAnsiTheme="minorEastAsia" w:eastAsiaTheme="minorEastAsia" w:cstheme="minorEastAsia"/>
          <w:kern w:val="0"/>
          <w:sz w:val="24"/>
          <w:szCs w:val="24"/>
          <w:highlight w:val="none"/>
          <w:lang w:val="en-US" w:eastAsia="zh-CN"/>
        </w:rPr>
        <w:t>竞标过程中及成交后</w:t>
      </w:r>
      <w:r>
        <w:rPr>
          <w:rFonts w:hint="eastAsia" w:asciiTheme="minorEastAsia" w:hAnsiTheme="minorEastAsia" w:eastAsiaTheme="minorEastAsia" w:cstheme="minorEastAsia"/>
          <w:kern w:val="0"/>
          <w:sz w:val="24"/>
          <w:szCs w:val="24"/>
          <w:highlight w:val="none"/>
        </w:rPr>
        <w:t>进行虚假</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恶意</w:t>
      </w:r>
      <w:r>
        <w:rPr>
          <w:rFonts w:hint="eastAsia" w:asciiTheme="minorEastAsia" w:hAnsiTheme="minorEastAsia" w:cstheme="minorEastAsia"/>
          <w:kern w:val="0"/>
          <w:sz w:val="24"/>
          <w:szCs w:val="24"/>
          <w:highlight w:val="none"/>
          <w:lang w:val="en-US" w:eastAsia="zh-CN"/>
        </w:rPr>
        <w:t>质疑及</w:t>
      </w:r>
      <w:r>
        <w:rPr>
          <w:rFonts w:hint="eastAsia" w:asciiTheme="minorEastAsia" w:hAnsiTheme="minorEastAsia" w:eastAsiaTheme="minorEastAsia" w:cstheme="minorEastAsia"/>
          <w:kern w:val="0"/>
          <w:sz w:val="24"/>
          <w:szCs w:val="24"/>
          <w:highlight w:val="none"/>
        </w:rPr>
        <w:t>投诉</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对本公司提供的投诉线索的真实性负责</w:t>
      </w:r>
      <w:r>
        <w:rPr>
          <w:rFonts w:hint="eastAsia" w:asciiTheme="minorEastAsia" w:hAnsiTheme="minorEastAsia" w:cstheme="minorEastAsia"/>
          <w:sz w:val="24"/>
          <w:szCs w:val="24"/>
          <w:highlight w:val="none"/>
          <w:lang w:val="en-US" w:eastAsia="zh-CN"/>
        </w:rPr>
        <w:t>。</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以上内容我已仔细阅读，</w:t>
      </w:r>
      <w:r>
        <w:rPr>
          <w:rFonts w:hint="eastAsia" w:asciiTheme="minorEastAsia" w:hAnsiTheme="minorEastAsia" w:cstheme="minorEastAsia"/>
          <w:kern w:val="0"/>
          <w:sz w:val="24"/>
          <w:szCs w:val="24"/>
          <w:highlight w:val="none"/>
          <w:lang w:val="en-US" w:eastAsia="zh-CN"/>
        </w:rPr>
        <w:t>我单位</w:t>
      </w:r>
      <w:r>
        <w:rPr>
          <w:rFonts w:hint="eastAsia" w:asciiTheme="minorEastAsia" w:hAnsiTheme="minorEastAsia" w:eastAsiaTheme="minorEastAsia" w:cstheme="minorEastAsia"/>
          <w:kern w:val="0"/>
          <w:sz w:val="24"/>
          <w:szCs w:val="24"/>
          <w:highlight w:val="none"/>
        </w:rPr>
        <w:t>若有违反承诺内容的行为，自愿依法接受取消投标资格、记入信用档案、取消中标资格、没收投标保证金</w:t>
      </w:r>
      <w:r>
        <w:rPr>
          <w:rFonts w:hint="eastAsia" w:asciiTheme="minorEastAsia" w:hAnsiTheme="minorEastAsia" w:cstheme="minorEastAsia"/>
          <w:kern w:val="0"/>
          <w:sz w:val="24"/>
          <w:szCs w:val="24"/>
          <w:highlight w:val="none"/>
          <w:lang w:eastAsia="zh-CN"/>
        </w:rPr>
        <w:t>、</w:t>
      </w:r>
      <w:r>
        <w:rPr>
          <w:rFonts w:hint="eastAsia" w:asciiTheme="minorEastAsia" w:hAnsiTheme="minorEastAsia" w:cstheme="minorEastAsia"/>
          <w:sz w:val="24"/>
          <w:szCs w:val="24"/>
          <w:highlight w:val="none"/>
          <w:lang w:val="en-US" w:eastAsia="zh-CN"/>
        </w:rPr>
        <w:t>三年内不得参与贵单位采购项目及上报财政部门</w:t>
      </w:r>
      <w:r>
        <w:rPr>
          <w:rFonts w:hint="eastAsia" w:asciiTheme="minorEastAsia" w:hAnsiTheme="minorEastAsia" w:eastAsiaTheme="minorEastAsia" w:cstheme="minorEastAsia"/>
          <w:kern w:val="0"/>
          <w:sz w:val="24"/>
          <w:szCs w:val="24"/>
          <w:highlight w:val="none"/>
        </w:rPr>
        <w:t>等有关处理，</w:t>
      </w:r>
      <w:r>
        <w:rPr>
          <w:rFonts w:hint="eastAsia" w:asciiTheme="minorEastAsia" w:hAnsiTheme="minorEastAsia" w:cstheme="minorEastAsia"/>
          <w:kern w:val="0"/>
          <w:sz w:val="24"/>
          <w:szCs w:val="24"/>
          <w:highlight w:val="none"/>
          <w:lang w:val="en-US" w:eastAsia="zh-CN"/>
        </w:rPr>
        <w:t>并</w:t>
      </w:r>
      <w:r>
        <w:rPr>
          <w:rFonts w:hint="eastAsia" w:asciiTheme="minorEastAsia" w:hAnsiTheme="minorEastAsia" w:eastAsiaTheme="minorEastAsia" w:cstheme="minorEastAsia"/>
          <w:kern w:val="0"/>
          <w:sz w:val="24"/>
          <w:szCs w:val="24"/>
          <w:highlight w:val="none"/>
        </w:rPr>
        <w:t>愿意承担法律责任，给招标人造成损失的，依法承担赔偿责任。</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承诺人（公章）：</w:t>
      </w:r>
    </w:p>
    <w:p>
      <w:pPr>
        <w:pStyle w:val="7"/>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法定代表人（签字或盖章）：</w:t>
      </w:r>
    </w:p>
    <w:p>
      <w:pPr>
        <w:ind w:firstLine="4080" w:firstLineChars="1700"/>
      </w:pPr>
      <w:r>
        <w:rPr>
          <w:rFonts w:hint="eastAsia" w:asciiTheme="minorEastAsia" w:hAnsiTheme="minorEastAsia" w:cstheme="minorEastAsia"/>
          <w:kern w:val="0"/>
          <w:sz w:val="24"/>
          <w:szCs w:val="24"/>
          <w:highlight w:val="none"/>
          <w:lang w:val="en-US" w:eastAsia="zh-CN"/>
        </w:rPr>
        <w:t>日期：     年    月   日</w:t>
      </w:r>
      <w:r>
        <w:rPr>
          <w:rFonts w:hint="eastAsia" w:ascii="仿宋" w:hAnsi="仿宋" w:eastAsia="仿宋" w:cs="仿宋"/>
          <w:kern w:val="0"/>
          <w:sz w:val="24"/>
          <w:szCs w:val="24"/>
          <w:lang w:val="en-US" w:eastAsia="zh-CN"/>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D3E5F"/>
    <w:multiLevelType w:val="singleLevel"/>
    <w:tmpl w:val="685D3E5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21E07"/>
    <w:rsid w:val="0B797BFC"/>
    <w:rsid w:val="0CE01DF4"/>
    <w:rsid w:val="13D13303"/>
    <w:rsid w:val="161F3A58"/>
    <w:rsid w:val="173A62C2"/>
    <w:rsid w:val="1837038F"/>
    <w:rsid w:val="1CE903F1"/>
    <w:rsid w:val="242215FB"/>
    <w:rsid w:val="24283AD9"/>
    <w:rsid w:val="27644D65"/>
    <w:rsid w:val="27AB0F17"/>
    <w:rsid w:val="33071E2C"/>
    <w:rsid w:val="37655B75"/>
    <w:rsid w:val="40184A15"/>
    <w:rsid w:val="447D7B02"/>
    <w:rsid w:val="4E5E08D5"/>
    <w:rsid w:val="644D1187"/>
    <w:rsid w:val="64C83C29"/>
    <w:rsid w:val="741C3268"/>
    <w:rsid w:val="75CB2E4B"/>
    <w:rsid w:val="7626068B"/>
    <w:rsid w:val="763C1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
    <w:name w:val="font11"/>
    <w:basedOn w:val="4"/>
    <w:qFormat/>
    <w:uiPriority w:val="0"/>
    <w:rPr>
      <w:rFonts w:hint="eastAsia" w:ascii="宋体" w:hAnsi="宋体" w:eastAsia="宋体" w:cs="宋体"/>
      <w:color w:val="000000"/>
      <w:sz w:val="22"/>
      <w:szCs w:val="22"/>
      <w:u w:val="none"/>
    </w:rPr>
  </w:style>
  <w:style w:type="character" w:customStyle="1" w:styleId="6">
    <w:name w:val="font21"/>
    <w:basedOn w:val="4"/>
    <w:qFormat/>
    <w:uiPriority w:val="0"/>
    <w:rPr>
      <w:rFonts w:ascii="Calibri" w:hAnsi="Calibri" w:cs="Calibri"/>
      <w:color w:val="000000"/>
      <w:sz w:val="22"/>
      <w:szCs w:val="22"/>
      <w:u w:val="none"/>
    </w:rPr>
  </w:style>
  <w:style w:type="paragraph" w:customStyle="1" w:styleId="7">
    <w:name w:val="p"/>
    <w:basedOn w:val="1"/>
    <w:qFormat/>
    <w:uiPriority w:val="0"/>
  </w:style>
  <w:style w:type="character" w:customStyle="1" w:styleId="8">
    <w:name w:val="font31"/>
    <w:basedOn w:val="4"/>
    <w:qFormat/>
    <w:uiPriority w:val="0"/>
    <w:rPr>
      <w:rFonts w:hint="default" w:ascii="MingLiU" w:hAnsi="MingLiU" w:eastAsia="MingLiU" w:cs="MingLiU"/>
      <w:color w:val="000000"/>
      <w:sz w:val="18"/>
      <w:szCs w:val="18"/>
      <w:u w:val="none"/>
    </w:rPr>
  </w:style>
  <w:style w:type="character" w:customStyle="1" w:styleId="9">
    <w:name w:val="font71"/>
    <w:basedOn w:val="4"/>
    <w:qFormat/>
    <w:uiPriority w:val="0"/>
    <w:rPr>
      <w:rFonts w:hint="default" w:ascii="Arial" w:hAnsi="Arial" w:cs="Arial"/>
      <w:color w:val="000000"/>
      <w:sz w:val="18"/>
      <w:szCs w:val="18"/>
      <w:u w:val="none"/>
    </w:rPr>
  </w:style>
  <w:style w:type="character" w:customStyle="1" w:styleId="10">
    <w:name w:val="font41"/>
    <w:basedOn w:val="4"/>
    <w:qFormat/>
    <w:uiPriority w:val="0"/>
    <w:rPr>
      <w:rFonts w:hint="eastAsia" w:ascii="宋体" w:hAnsi="宋体" w:eastAsia="宋体" w:cs="宋体"/>
      <w:color w:val="000000"/>
      <w:sz w:val="18"/>
      <w:szCs w:val="18"/>
      <w:u w:val="none"/>
    </w:rPr>
  </w:style>
  <w:style w:type="character" w:customStyle="1" w:styleId="11">
    <w:name w:val="font171"/>
    <w:basedOn w:val="4"/>
    <w:qFormat/>
    <w:uiPriority w:val="0"/>
    <w:rPr>
      <w:rFonts w:hint="default" w:ascii="Calibri" w:hAnsi="Calibri" w:cs="Calibri"/>
      <w:color w:val="000000"/>
      <w:sz w:val="18"/>
      <w:szCs w:val="18"/>
      <w:u w:val="none"/>
    </w:rPr>
  </w:style>
  <w:style w:type="character" w:customStyle="1" w:styleId="12">
    <w:name w:val="font1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5426</Words>
  <Characters>6182</Characters>
  <Lines>0</Lines>
  <Paragraphs>0</Paragraphs>
  <TotalTime>2</TotalTime>
  <ScaleCrop>false</ScaleCrop>
  <LinksUpToDate>false</LinksUpToDate>
  <CharactersWithSpaces>6612</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2025-09-30T00:28:00Z</dcterms:created>
  <dc:creator>Administrator</dc:creator>
  <cp:lastModifiedBy>admin</cp:lastModifiedBy>
  <dcterms:modified xsi:type="dcterms:W3CDTF">2026-09-07T07:36:45Z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y fmtid="{D5CDD505-2E9C-101B-9397-08002B2CF9AE}" pid="3" name="KSOTemplateDocerSaveRecord">
    <vt:lpwstr>eyJoZGlkIjoiMDg5ZjZlZDY0Yjc2NzBkMzExNzMzMDljNDVlZmE4ODYiLCJ1c2VySWQiOiI0NTUzMTAzMzYifQ==</vt:lpwstr>
  </property>
  <property fmtid="{D5CDD505-2E9C-101B-9397-08002B2CF9AE}" pid="4" name="ICV">
    <vt:lpwstr>7E4FC719DD904FAB9FDEFE8293CE8242_12</vt:lpwstr>
  </property>
</Properties>
</file>