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、设备价值3000元以上的医疗设备，付款方式为：供应商提供正规销售发票，中小企业设备验收合格后支付合同金额90%；其他供应商设备验收合格后</w:t>
      </w:r>
      <w:r>
        <w:rPr>
          <w:rFonts w:hint="eastAsia"/>
          <w:sz w:val="28"/>
          <w:szCs w:val="28"/>
          <w:lang w:val="en-US" w:eastAsia="zh-CN"/>
        </w:rPr>
        <w:t>二</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雾化吸入器</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2000元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业务人员授权文件</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设备技术参数（原厂盖章，扫描件视为有效）</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8、</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说明书等供应商认为有必要的材料</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b/>
          <w:sz w:val="28"/>
          <w:szCs w:val="28"/>
        </w:rPr>
      </w:pP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tabs>
          <w:tab w:val="left" w:pos="420"/>
        </w:tabs>
        <w:spacing w:line="360" w:lineRule="auto"/>
        <w:rPr>
          <w:rFonts w:hint="eastAsia" w:asciiTheme="minorEastAsia" w:hAnsiTheme="minorEastAsia"/>
          <w:b/>
          <w:bCs/>
          <w:sz w:val="28"/>
          <w:szCs w:val="28"/>
        </w:rPr>
      </w:pPr>
      <w:r>
        <w:rPr>
          <w:rFonts w:hint="eastAsia" w:asciiTheme="minorEastAsia" w:hAnsiTheme="minorEastAsia"/>
          <w:b/>
          <w:bCs/>
          <w:sz w:val="28"/>
          <w:szCs w:val="28"/>
        </w:rPr>
        <w:t>包一：</w:t>
      </w:r>
    </w:p>
    <w:tbl>
      <w:tblPr>
        <w:tblStyle w:val="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restart"/>
            <w:noWrap w:val="0"/>
            <w:vAlign w:val="center"/>
          </w:tcPr>
          <w:p>
            <w:pPr>
              <w:pStyle w:val="3"/>
              <w:ind w:left="113" w:right="113"/>
              <w:jc w:val="center"/>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规格参数</w:t>
            </w: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输出压力： 7L/min@100kPa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hint="eastAsia"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粒子径： MMAD 3-5 um*，占比8</w:t>
            </w:r>
            <w:r>
              <w:rPr>
                <w:rFonts w:ascii="微软雅黑" w:hAnsi="微软雅黑" w:eastAsia="微软雅黑" w:cs="Arial"/>
                <w:color w:val="000000"/>
                <w:sz w:val="24"/>
              </w:rPr>
              <w:t>0</w:t>
            </w:r>
            <w:r>
              <w:rPr>
                <w:rFonts w:hint="eastAsia" w:ascii="微软雅黑" w:hAnsi="微软雅黑" w:eastAsia="微软雅黑" w:cs="Arial"/>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药液杯容量：</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最大</w:t>
            </w:r>
            <w:r>
              <w:rPr>
                <w:rFonts w:ascii="微软雅黑" w:hAnsi="微软雅黑" w:eastAsia="微软雅黑" w:cs="Arial"/>
                <w:color w:val="000000"/>
                <w:sz w:val="24"/>
              </w:rPr>
              <w:t>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药液量:2-7ml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喷雾速率：</w:t>
            </w:r>
            <w:r>
              <w:rPr>
                <w:rFonts w:ascii="微软雅黑" w:hAnsi="微软雅黑" w:eastAsia="微软雅黑" w:cs="Arial"/>
                <w:color w:val="000000"/>
                <w:sz w:val="24"/>
              </w:rPr>
              <w:t xml:space="preserve"> 0.25mL/ </w:t>
            </w:r>
            <w:r>
              <w:rPr>
                <w:rFonts w:hint="eastAsia" w:ascii="微软雅黑" w:hAnsi="微软雅黑" w:eastAsia="微软雅黑" w:cs="Arial"/>
                <w:color w:val="000000"/>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噪音：</w:t>
            </w:r>
            <w:r>
              <w:rPr>
                <w:rFonts w:ascii="微软雅黑" w:hAnsi="微软雅黑" w:eastAsia="微软雅黑" w:cs="Arial"/>
                <w:color w:val="000000"/>
                <w:sz w:val="24"/>
              </w:rPr>
              <w:t xml:space="preserve"> 65dB </w:t>
            </w:r>
            <w:r>
              <w:rPr>
                <w:rFonts w:hint="eastAsia" w:ascii="微软雅黑" w:hAnsi="微软雅黑" w:eastAsia="微软雅黑" w:cs="Arial"/>
                <w:color w:val="000000"/>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电源：AC 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hint="eastAsia"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消耗功率：140VA以下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使用环境温度</w:t>
            </w:r>
            <w:r>
              <w:rPr>
                <w:rFonts w:ascii="微软雅黑" w:hAnsi="微软雅黑" w:eastAsia="微软雅黑" w:cs="Arial"/>
                <w:color w:val="000000"/>
                <w:sz w:val="24"/>
              </w:rPr>
              <w:t xml:space="preserve">+10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+40</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/30%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85%RH/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湿度</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气压</w:t>
            </w:r>
            <w:r>
              <w:rPr>
                <w:rFonts w:ascii="微软雅黑" w:hAnsi="微软雅黑" w:eastAsia="微软雅黑" w:cs="Arial"/>
                <w:color w:val="000000"/>
                <w:sz w:val="24"/>
              </w:rPr>
              <w:t xml:space="preserve">:700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保管运输环境温度</w:t>
            </w:r>
            <w:r>
              <w:rPr>
                <w:rFonts w:ascii="微软雅黑" w:hAnsi="微软雅黑" w:eastAsia="微软雅黑" w:cs="Arial"/>
                <w:color w:val="000000"/>
                <w:sz w:val="24"/>
              </w:rPr>
              <w:t xml:space="preserve">/-20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+60</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/10% </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本体重量：</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约</w:t>
            </w:r>
            <w:r>
              <w:rPr>
                <w:rFonts w:ascii="微软雅黑" w:hAnsi="微软雅黑" w:eastAsia="微软雅黑" w:cs="Arial"/>
                <w:color w:val="000000"/>
                <w:sz w:val="24"/>
              </w:rPr>
              <w:t>2.2kg</w:t>
            </w:r>
            <w:r>
              <w:rPr>
                <w:rFonts w:hint="eastAsia" w:ascii="微软雅黑" w:hAnsi="微软雅黑" w:eastAsia="微软雅黑" w:cs="Arial"/>
                <w:color w:val="000000"/>
                <w:sz w:val="24"/>
              </w:rPr>
              <w:t>（仅本体部分）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外形尺寸：</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宽约</w:t>
            </w:r>
            <w:r>
              <w:rPr>
                <w:rFonts w:ascii="微软雅黑" w:hAnsi="微软雅黑" w:eastAsia="微软雅黑" w:cs="Arial"/>
                <w:color w:val="000000"/>
                <w:sz w:val="24"/>
              </w:rPr>
              <w:t>175</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高约</w:t>
            </w:r>
            <w:r>
              <w:rPr>
                <w:rFonts w:ascii="微软雅黑" w:hAnsi="微软雅黑" w:eastAsia="微软雅黑" w:cs="Arial"/>
                <w:color w:val="000000"/>
                <w:sz w:val="24"/>
              </w:rPr>
              <w:t>110</w:t>
            </w:r>
            <w:r>
              <w:rPr>
                <w:rFonts w:hint="eastAsia" w:ascii="微软雅黑" w:hAnsi="微软雅黑" w:eastAsia="微软雅黑" w:cs="Arial"/>
                <w:color w:val="000000"/>
                <w:sz w:val="24"/>
              </w:rPr>
              <w:t>×</w:t>
            </w:r>
            <w:r>
              <w:rPr>
                <w:rFonts w:ascii="微软雅黑" w:hAnsi="微软雅黑" w:eastAsia="微软雅黑" w:cs="Arial"/>
                <w:color w:val="000000"/>
                <w:sz w:val="24"/>
              </w:rPr>
              <w:t xml:space="preserve"> </w:t>
            </w:r>
            <w:r>
              <w:rPr>
                <w:rFonts w:hint="eastAsia" w:ascii="微软雅黑" w:hAnsi="微软雅黑" w:eastAsia="微软雅黑" w:cs="Arial"/>
                <w:color w:val="000000"/>
                <w:sz w:val="24"/>
              </w:rPr>
              <w:t>厚约</w:t>
            </w:r>
            <w:r>
              <w:rPr>
                <w:rFonts w:ascii="微软雅黑" w:hAnsi="微软雅黑" w:eastAsia="微软雅黑" w:cs="Arial"/>
                <w:color w:val="000000"/>
                <w:sz w:val="24"/>
              </w:rPr>
              <w:t>215mm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防电击分类：</w:t>
            </w:r>
            <w:r>
              <w:rPr>
                <w:rFonts w:ascii="微软雅黑" w:hAnsi="微软雅黑" w:eastAsia="微软雅黑" w:cs="Arial"/>
                <w:color w:val="000000"/>
                <w:sz w:val="24"/>
              </w:rPr>
              <w:t xml:space="preserve"> II </w:t>
            </w:r>
            <w:r>
              <w:rPr>
                <w:rFonts w:hint="eastAsia" w:ascii="微软雅黑" w:hAnsi="微软雅黑" w:eastAsia="微软雅黑" w:cs="Arial"/>
                <w:color w:val="000000"/>
                <w:sz w:val="24"/>
              </w:rPr>
              <w:t>类设备、</w:t>
            </w:r>
            <w:r>
              <w:rPr>
                <w:rFonts w:ascii="微软雅黑" w:hAnsi="微软雅黑" w:eastAsia="微软雅黑" w:cs="Arial"/>
                <w:color w:val="000000"/>
                <w:sz w:val="24"/>
              </w:rPr>
              <w:t xml:space="preserve">B </w:t>
            </w:r>
            <w:r>
              <w:rPr>
                <w:rFonts w:hint="eastAsia" w:ascii="微软雅黑" w:hAnsi="微软雅黑" w:eastAsia="微软雅黑" w:cs="Arial"/>
                <w:color w:val="000000"/>
                <w:sz w:val="24"/>
              </w:rPr>
              <w:t>型应用部分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restart"/>
            <w:noWrap w:val="0"/>
            <w:vAlign w:val="center"/>
          </w:tcPr>
          <w:p>
            <w:pPr>
              <w:pStyle w:val="3"/>
              <w:jc w:val="center"/>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性能特点</w:t>
            </w: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耐久工艺设计，保证泵的使用寿命</w:t>
            </w:r>
            <w:r>
              <w:rPr>
                <w:rFonts w:hint="eastAsia" w:ascii="微软雅黑" w:hAnsi="微软雅黑" w:eastAsia="微软雅黑" w:cs="Arial"/>
                <w:color w:val="000000"/>
                <w:sz w:val="24"/>
                <w:lang w:val="en-US" w:eastAsia="zh-CN"/>
              </w:rPr>
              <w:t>≥</w:t>
            </w:r>
            <w:r>
              <w:rPr>
                <w:rFonts w:hint="eastAsia" w:ascii="微软雅黑" w:hAnsi="微软雅黑" w:eastAsia="微软雅黑" w:cs="Arial"/>
                <w:color w:val="000000"/>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外置过滤片，可及时更换，保证干净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8" w:type="dxa"/>
            <w:vMerge w:val="continue"/>
            <w:noWrap w:val="0"/>
            <w:vAlign w:val="center"/>
          </w:tcPr>
          <w:p>
            <w:pPr>
              <w:pStyle w:val="3"/>
              <w:jc w:val="center"/>
              <w:rPr>
                <w:rFonts w:ascii="微软雅黑" w:hAnsi="微软雅黑" w:eastAsia="微软雅黑" w:cs="Arial"/>
                <w:color w:val="000000"/>
                <w:sz w:val="24"/>
                <w:szCs w:val="24"/>
              </w:rPr>
            </w:pPr>
          </w:p>
        </w:tc>
        <w:tc>
          <w:tcPr>
            <w:tcW w:w="7575" w:type="dxa"/>
            <w:noWrap w:val="0"/>
            <w:vAlign w:val="center"/>
          </w:tcPr>
          <w:p>
            <w:pPr>
              <w:pStyle w:val="3"/>
              <w:rPr>
                <w:rFonts w:hint="eastAsia" w:ascii="微软雅黑" w:hAnsi="微软雅黑" w:eastAsia="微软雅黑" w:cs="Arial"/>
                <w:color w:val="000000"/>
                <w:sz w:val="24"/>
              </w:rPr>
            </w:pPr>
            <w:r>
              <w:rPr>
                <w:rFonts w:hint="eastAsia" w:ascii="微软雅黑" w:hAnsi="微软雅黑" w:eastAsia="微软雅黑" w:cs="Arial"/>
                <w:color w:val="000000"/>
                <w:sz w:val="24"/>
              </w:rPr>
              <w:t xml:space="preserve">机身抗菌树脂，适合医院环境 </w:t>
            </w:r>
          </w:p>
        </w:tc>
      </w:tr>
    </w:tbl>
    <w:p>
      <w:pPr>
        <w:tabs>
          <w:tab w:val="left" w:pos="420"/>
        </w:tabs>
        <w:spacing w:line="360" w:lineRule="auto"/>
        <w:rPr>
          <w:rFonts w:hint="eastAsia" w:asciiTheme="minorEastAsia" w:hAnsiTheme="minorEastAsia"/>
          <w:b/>
          <w:bCs/>
          <w:sz w:val="28"/>
          <w:szCs w:val="28"/>
        </w:rPr>
      </w:pPr>
      <w:bookmarkStart w:id="0" w:name="_GoBack"/>
      <w:bookmarkEnd w:id="0"/>
    </w:p>
    <w:p>
      <w:pPr>
        <w:rPr>
          <w:rFonts w:hint="default" w:asciiTheme="minorEastAsia" w:hAnsiTheme="minorEastAsia"/>
          <w:b/>
          <w:bCs/>
          <w:sz w:val="28"/>
          <w:szCs w:val="28"/>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CC33B43"/>
    <w:rsid w:val="1CFE14AC"/>
    <w:rsid w:val="49784602"/>
    <w:rsid w:val="4F8A0D62"/>
    <w:rsid w:val="531C6FD2"/>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uiPriority w:val="99"/>
    <w:rPr>
      <w:sz w:val="18"/>
      <w:szCs w:val="18"/>
    </w:rPr>
  </w:style>
  <w:style w:type="character" w:customStyle="1" w:styleId="13">
    <w:name w:val="页脚 Char"/>
    <w:basedOn w:val="10"/>
    <w:link w:val="5"/>
    <w:uiPriority w:val="99"/>
    <w:rPr>
      <w:sz w:val="18"/>
      <w:szCs w:val="18"/>
    </w:rPr>
  </w:style>
  <w:style w:type="character" w:customStyle="1" w:styleId="14">
    <w:name w:val="批注框文本 Char"/>
    <w:basedOn w:val="10"/>
    <w:link w:val="4"/>
    <w:semiHidden/>
    <w:uiPriority w:val="99"/>
    <w:rPr>
      <w:sz w:val="18"/>
      <w:szCs w:val="18"/>
    </w:rPr>
  </w:style>
  <w:style w:type="character" w:customStyle="1" w:styleId="15">
    <w:name w:val="标题 1 Char"/>
    <w:basedOn w:val="10"/>
    <w:link w:val="2"/>
    <w:qFormat/>
    <w:uiPriority w:val="0"/>
    <w:rPr>
      <w:rFonts w:ascii="宋体" w:hAnsi="宋体" w:eastAsia="宋体" w:cs="宋体"/>
      <w:b/>
      <w:bCs/>
      <w:kern w:val="36"/>
      <w:sz w:val="48"/>
      <w:szCs w:val="48"/>
    </w:rPr>
  </w:style>
  <w:style w:type="paragraph" w:customStyle="1" w:styleId="16">
    <w:name w:val="正文文本缩进1"/>
    <w:basedOn w:val="1"/>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1651</Words>
  <Characters>1775</Characters>
  <Lines>17</Lines>
  <Paragraphs>4</Paragraphs>
  <TotalTime>0</TotalTime>
  <ScaleCrop>false</ScaleCrop>
  <LinksUpToDate>false</LinksUpToDate>
  <CharactersWithSpaces>2173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nxf</cp:lastModifiedBy>
  <dcterms:modified xsi:type="dcterms:W3CDTF">2022-08-18T08:42:01Z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04871E7F5CE94BEB9DE223AD1F1EB141</vt:lpwstr>
  </property>
</Properties>
</file>