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、设备价值3000元以上的设备，付款方式为：验收合格后</w:t>
      </w:r>
      <w:r>
        <w:rPr>
          <w:rFonts w:hint="eastAsia"/>
          <w:sz w:val="28"/>
          <w:szCs w:val="28"/>
          <w:lang w:eastAsia="zh-CN"/>
        </w:rPr>
        <w:t>，</w:t>
      </w:r>
      <w:r>
        <w:rPr>
          <w:rFonts w:hint="eastAsia"/>
          <w:sz w:val="28"/>
          <w:szCs w:val="28"/>
        </w:rPr>
        <w:t>供应商提供正规销售发票</w:t>
      </w:r>
      <w:r>
        <w:rPr>
          <w:rFonts w:hint="eastAsia"/>
          <w:sz w:val="28"/>
          <w:szCs w:val="28"/>
          <w:lang w:eastAsia="zh-CN"/>
        </w:rPr>
        <w:t>，</w:t>
      </w:r>
      <w:r>
        <w:rPr>
          <w:rFonts w:hint="eastAsia"/>
          <w:sz w:val="28"/>
          <w:szCs w:val="28"/>
        </w:rPr>
        <w:t>支付合同金额</w:t>
      </w:r>
      <w:r>
        <w:rPr>
          <w:rFonts w:hint="eastAsia"/>
          <w:sz w:val="28"/>
          <w:szCs w:val="28"/>
          <w:lang w:val="en-US" w:eastAsia="zh-CN"/>
        </w:rPr>
        <w:t>的</w:t>
      </w:r>
      <w:r>
        <w:rPr>
          <w:rFonts w:hint="eastAsia"/>
          <w:sz w:val="28"/>
          <w:szCs w:val="28"/>
        </w:rPr>
        <w:t>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X射线防护用品</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一批</w:t>
            </w:r>
          </w:p>
        </w:tc>
        <w:tc>
          <w:tcPr>
            <w:tcW w:w="4161"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20730元</w:t>
            </w:r>
          </w:p>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0000FF"/>
                <w:kern w:val="0"/>
                <w:szCs w:val="21"/>
                <w:lang w:val="en-US" w:eastAsia="zh-CN"/>
              </w:rPr>
              <w:t>（请根据参数明细单独列出各项单价及厂家、规格型号等）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top"/>
          </w:tcPr>
          <w:p>
            <w:pPr>
              <w:widowControl/>
              <w:spacing w:line="405" w:lineRule="atLeast"/>
              <w:jc w:val="center"/>
              <w:rPr>
                <w:rFonts w:hint="eastAsia" w:cs="宋体" w:asciiTheme="minorEastAsia" w:hAnsiTheme="minorEastAsia"/>
                <w:color w:val="333333"/>
                <w:kern w:val="0"/>
                <w:szCs w:val="21"/>
                <w:lang w:val="en-US" w:eastAsia="zh-CN"/>
              </w:rPr>
            </w:pP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便携式辐射监测仪（辐射巡检仪）</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3800元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rFonts w:hint="eastAsia"/>
          <w:sz w:val="44"/>
          <w:szCs w:val="44"/>
          <w:lang w:val="en-US" w:eastAsia="zh-CN"/>
        </w:rPr>
      </w:pPr>
      <w:r>
        <w:rPr>
          <w:rFonts w:hint="eastAsia"/>
          <w:sz w:val="44"/>
          <w:szCs w:val="44"/>
          <w:lang w:val="en-US" w:eastAsia="zh-CN"/>
        </w:rPr>
        <w:t>潍坊市高新康复医院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hint="eastAsia"/>
          <w:b/>
          <w:sz w:val="28"/>
          <w:szCs w:val="28"/>
        </w:rPr>
      </w:pPr>
      <w:r>
        <w:rPr>
          <w:rFonts w:hint="eastAsia" w:asciiTheme="minorEastAsia" w:hAnsiTheme="minorEastAsia"/>
          <w:sz w:val="28"/>
          <w:szCs w:val="28"/>
        </w:rPr>
        <w:t>9、原始合同复印件2份</w:t>
      </w: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default" w:asciiTheme="minorEastAsia" w:hAnsiTheme="minorEastAsia" w:eastAsiaTheme="minorEastAsia"/>
          <w:b/>
          <w:bCs/>
          <w:sz w:val="28"/>
          <w:szCs w:val="28"/>
          <w:lang w:val="en-US" w:eastAsia="zh-CN"/>
        </w:rPr>
      </w:pPr>
      <w:r>
        <w:rPr>
          <w:rFonts w:hint="eastAsia" w:asciiTheme="minorEastAsia" w:hAnsiTheme="minorEastAsia"/>
          <w:b/>
          <w:bCs/>
          <w:sz w:val="28"/>
          <w:szCs w:val="28"/>
        </w:rPr>
        <w:t>包一：</w:t>
      </w:r>
      <w:r>
        <w:rPr>
          <w:rFonts w:hint="eastAsia" w:asciiTheme="minorEastAsia" w:hAnsiTheme="minorEastAsia"/>
          <w:b/>
          <w:bCs/>
          <w:sz w:val="28"/>
          <w:szCs w:val="28"/>
          <w:lang w:val="en-US" w:eastAsia="zh-CN"/>
        </w:rPr>
        <w:t>DSA用</w:t>
      </w:r>
      <w:bookmarkStart w:id="0" w:name="_GoBack"/>
      <w:bookmarkEnd w:id="0"/>
      <w:r>
        <w:rPr>
          <w:rFonts w:hint="eastAsia" w:asciiTheme="minorEastAsia" w:hAnsiTheme="minorEastAsia"/>
          <w:b/>
          <w:bCs/>
          <w:sz w:val="28"/>
          <w:szCs w:val="28"/>
          <w:lang w:val="en-US" w:eastAsia="zh-CN"/>
        </w:rPr>
        <w:t>X射线防护用品一批</w:t>
      </w:r>
    </w:p>
    <w:tbl>
      <w:tblPr>
        <w:tblStyle w:val="7"/>
        <w:tblW w:w="9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1"/>
        <w:gridCol w:w="5190"/>
        <w:gridCol w:w="1680"/>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sz w:val="28"/>
                <w:szCs w:val="28"/>
              </w:rPr>
            </w:pPr>
            <w:r>
              <w:rPr>
                <w:rFonts w:hint="eastAsia" w:asciiTheme="minorEastAsia" w:hAnsiTheme="minorEastAsia"/>
                <w:sz w:val="28"/>
                <w:szCs w:val="28"/>
                <w:lang w:val="en-US" w:eastAsia="zh-CN"/>
              </w:rPr>
              <w:t>使用群体</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sz w:val="28"/>
                <w:szCs w:val="28"/>
              </w:rPr>
            </w:pPr>
            <w:r>
              <w:rPr>
                <w:rFonts w:hint="eastAsia" w:asciiTheme="minorEastAsia" w:hAnsiTheme="minorEastAsia"/>
                <w:sz w:val="28"/>
                <w:szCs w:val="28"/>
                <w:lang w:val="en-US" w:eastAsia="zh-CN"/>
              </w:rPr>
              <w:t>配备情况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sz w:val="28"/>
                <w:szCs w:val="28"/>
              </w:rPr>
            </w:pPr>
            <w:r>
              <w:rPr>
                <w:rFonts w:hint="eastAsia" w:asciiTheme="minorEastAsia" w:hAnsiTheme="minorEastAsia"/>
                <w:sz w:val="28"/>
                <w:szCs w:val="28"/>
                <w:lang w:val="en-US" w:eastAsia="zh-CN"/>
              </w:rPr>
              <w:t>预算单价</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sz w:val="28"/>
                <w:szCs w:val="28"/>
              </w:rPr>
            </w:pPr>
            <w:r>
              <w:rPr>
                <w:rFonts w:hint="eastAsia" w:asciiTheme="minorEastAsia" w:hAnsiTheme="minorEastAsia"/>
                <w:sz w:val="28"/>
                <w:szCs w:val="28"/>
                <w:lang w:val="en-US" w:eastAsia="zh-CN"/>
              </w:rPr>
              <w:t>预算总价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sz w:val="28"/>
                <w:szCs w:val="28"/>
              </w:rPr>
            </w:pPr>
            <w:r>
              <w:rPr>
                <w:rFonts w:hint="eastAsia" w:asciiTheme="minorEastAsia" w:hAnsiTheme="minorEastAsia"/>
                <w:sz w:val="28"/>
                <w:szCs w:val="28"/>
                <w:lang w:val="en-US" w:eastAsia="zh-CN"/>
              </w:rPr>
              <w:t>儿童患者</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sz w:val="28"/>
                <w:szCs w:val="28"/>
              </w:rPr>
            </w:pPr>
            <w:r>
              <w:rPr>
                <w:rFonts w:hint="eastAsia" w:asciiTheme="minorEastAsia" w:hAnsiTheme="minorEastAsia"/>
                <w:sz w:val="28"/>
                <w:szCs w:val="28"/>
                <w:lang w:val="en-US" w:eastAsia="zh-CN"/>
              </w:rPr>
              <w:t>0.5mmpb儿童款铅橡胶性腺防护方巾1件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sz w:val="28"/>
                <w:szCs w:val="28"/>
              </w:rPr>
            </w:pPr>
            <w:r>
              <w:rPr>
                <w:rFonts w:hint="eastAsia" w:asciiTheme="minorEastAsia" w:hAnsiTheme="minorEastAsia"/>
                <w:sz w:val="28"/>
                <w:szCs w:val="28"/>
                <w:lang w:val="en-US" w:eastAsia="zh-CN"/>
              </w:rPr>
              <w:t>300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sz w:val="28"/>
                <w:szCs w:val="28"/>
              </w:rPr>
            </w:pPr>
            <w:r>
              <w:rPr>
                <w:rFonts w:hint="eastAsia" w:asciiTheme="minorEastAsia" w:hAnsiTheme="minorEastAsia"/>
                <w:sz w:val="28"/>
                <w:szCs w:val="28"/>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0.5mmpb儿童款直型橡胶铅颈套1件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180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0.5mmpb儿童款直型铅橡胶帽子1件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150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成人患者</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0.5mmpb铅橡胶性腺防护方巾1件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300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0.5mmpb直型橡胶铅颈套1件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0.5mmpb铅橡胶帽子1件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工作人员</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0.5mmpb铅橡胶衣5件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1400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0.5mmpb铅防护眼镜5副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180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0.5mmpb大领铅橡胶颈套5件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0.5mmpb铅橡胶帽子5件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0.025mmpb介入防护手套5副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700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辅助防护设施</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2mmpb移动铅防护屏风</w:t>
            </w:r>
            <w:r>
              <w:rPr>
                <w:rFonts w:hint="eastAsia" w:asciiTheme="minorEastAsia" w:hAnsiTheme="minorEastAsia" w:cstheme="minorBidi"/>
                <w:kern w:val="2"/>
                <w:sz w:val="28"/>
                <w:szCs w:val="28"/>
                <w:lang w:val="en-US" w:eastAsia="zh-CN" w:bidi="ar-SA"/>
              </w:rPr>
              <w:t>（≥2折款式，长度≥1.5米，带观察窗）</w:t>
            </w:r>
            <w:r>
              <w:rPr>
                <w:rFonts w:hint="eastAsia" w:asciiTheme="minorEastAsia" w:hAnsiTheme="minorEastAsia" w:eastAsiaTheme="minorEastAsia" w:cstheme="minorBidi"/>
                <w:kern w:val="2"/>
                <w:sz w:val="28"/>
                <w:szCs w:val="28"/>
                <w:lang w:val="en-US" w:eastAsia="zh-CN" w:bidi="ar-SA"/>
              </w:rPr>
              <w:t>1件</w:t>
            </w:r>
          </w:p>
        </w:tc>
        <w:tc>
          <w:tcPr>
            <w:tcW w:w="1680"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6000</w:t>
            </w:r>
          </w:p>
        </w:tc>
        <w:tc>
          <w:tcPr>
            <w:tcW w:w="1376"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6000</w:t>
            </w:r>
          </w:p>
        </w:tc>
      </w:tr>
    </w:tbl>
    <w:p>
      <w:pPr>
        <w:numPr>
          <w:ilvl w:val="0"/>
          <w:numId w:val="0"/>
        </w:numPr>
        <w:rPr>
          <w:rFonts w:hint="eastAsia" w:cs="宋体" w:asciiTheme="minorEastAsia" w:hAnsiTheme="minorEastAsia"/>
          <w:color w:val="333333"/>
          <w:kern w:val="0"/>
          <w:szCs w:val="21"/>
          <w:lang w:val="en-US" w:eastAsia="zh-CN"/>
        </w:rPr>
      </w:pPr>
    </w:p>
    <w:p>
      <w:pPr>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二、便携式辐射监测仪（辐射巡检仪）</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1、可测量X射线；具有剂量率和累积剂量双阈值报警功能，在测量范围内，报警阈值可任意设置，可自动记录报警事件，并可手动查看报警记录。</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2、探测器：能量补偿型GM计数管(可选双能量补偿GM管)</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3、测量范围：剂量率：0.01μSv/h～15mSv/h(可选0.01μSv/h～1Sv/h)；累积剂量：0.00μSv～999.99Sv</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4、灵敏度：5CPS/uSv/h（相对于137Cs）</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5、能量范围：50KeV～3.0MeV</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6、报警声强度：＞80dB（50cm内）</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 xml:space="preserve">7、显示单位 :剂量率：μSv/h，累计剂量：μSv、mSv、Sv </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8、灵敏度高，响应速度快，测量范围大，对环境本底也有响应。</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9、实时测量剂量率，同时记录并显示累积剂量。</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10、在测量范围内，剂量率报警阈值和累积剂量报警阈值均可任意设置。</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11、具有剂量率和累积剂量双报警功能。</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12、自动记录报警事件，并可手动进行查询。</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13、内置存储器，掉电后累积剂量值、报警阈值和报警记录不丢失。</w:t>
      </w:r>
    </w:p>
    <w:p>
      <w:pPr>
        <w:keepNext w:val="0"/>
        <w:keepLines w:val="0"/>
        <w:widowControl/>
        <w:suppressLineNumbers w:val="0"/>
        <w:jc w:val="left"/>
        <w:textAlignment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14、具有实时时钟功能，可准确记录下报警发生的时间与当前时间。</w:t>
      </w:r>
    </w:p>
    <w:p>
      <w:pPr>
        <w:keepNext w:val="0"/>
        <w:keepLines w:val="0"/>
        <w:widowControl/>
        <w:suppressLineNumbers w:val="0"/>
        <w:jc w:val="left"/>
        <w:textAlignment w:val="center"/>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1</w:t>
      </w:r>
      <w:r>
        <w:rPr>
          <w:rFonts w:hint="eastAsia" w:asciiTheme="minorEastAsia" w:hAnsiTheme="minorEastAsia" w:cstheme="minorBidi"/>
          <w:kern w:val="2"/>
          <w:sz w:val="28"/>
          <w:szCs w:val="28"/>
          <w:lang w:val="en-US" w:eastAsia="zh-CN" w:bidi="ar-SA"/>
        </w:rPr>
        <w:t>5</w:t>
      </w:r>
      <w:r>
        <w:rPr>
          <w:rFonts w:hint="eastAsia" w:asciiTheme="minorEastAsia" w:hAnsiTheme="minorEastAsia" w:eastAsiaTheme="minorEastAsia" w:cstheme="minorBidi"/>
          <w:kern w:val="2"/>
          <w:sz w:val="28"/>
          <w:szCs w:val="28"/>
          <w:lang w:val="en-US" w:eastAsia="zh-CN" w:bidi="ar-SA"/>
        </w:rPr>
        <w:t>、内置</w:t>
      </w:r>
      <w:r>
        <w:rPr>
          <w:rFonts w:hint="eastAsia" w:asciiTheme="minorEastAsia" w:hAnsiTheme="minorEastAsia" w:cstheme="minorBidi"/>
          <w:kern w:val="2"/>
          <w:sz w:val="28"/>
          <w:szCs w:val="28"/>
          <w:lang w:val="en-US" w:eastAsia="zh-CN" w:bidi="ar-SA"/>
        </w:rPr>
        <w:t>充电</w:t>
      </w:r>
      <w:r>
        <w:rPr>
          <w:rFonts w:hint="eastAsia" w:asciiTheme="minorEastAsia" w:hAnsiTheme="minorEastAsia" w:eastAsiaTheme="minorEastAsia" w:cstheme="minorBidi"/>
          <w:kern w:val="2"/>
          <w:sz w:val="28"/>
          <w:szCs w:val="28"/>
          <w:lang w:val="en-US" w:eastAsia="zh-CN" w:bidi="ar-SA"/>
        </w:rPr>
        <w:t>锂电池。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2E6260"/>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92B1742"/>
    <w:rsid w:val="0FF46BA8"/>
    <w:rsid w:val="10610139"/>
    <w:rsid w:val="2303726E"/>
    <w:rsid w:val="35106B9D"/>
    <w:rsid w:val="3935457E"/>
    <w:rsid w:val="49784602"/>
    <w:rsid w:val="4F1C7696"/>
    <w:rsid w:val="4F8A0D62"/>
    <w:rsid w:val="531C6FD2"/>
    <w:rsid w:val="59F512EC"/>
    <w:rsid w:val="64FF2FA9"/>
    <w:rsid w:val="6A634377"/>
    <w:rsid w:val="6CF955A1"/>
    <w:rsid w:val="730438B3"/>
    <w:rsid w:val="736B3E47"/>
    <w:rsid w:val="7D25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批注框文本 Char"/>
    <w:basedOn w:val="9"/>
    <w:link w:val="3"/>
    <w:autoRedefine/>
    <w:semiHidden/>
    <w:qFormat/>
    <w:uiPriority w:val="99"/>
    <w:rPr>
      <w:sz w:val="18"/>
      <w:szCs w:val="18"/>
    </w:rPr>
  </w:style>
  <w:style w:type="character" w:customStyle="1" w:styleId="14">
    <w:name w:val="标题 1 Char"/>
    <w:basedOn w:val="9"/>
    <w:link w:val="2"/>
    <w:autoRedefine/>
    <w:qFormat/>
    <w:uiPriority w:val="0"/>
    <w:rPr>
      <w:rFonts w:ascii="宋体" w:hAnsi="宋体" w:eastAsia="宋体" w:cs="宋体"/>
      <w:b/>
      <w:bCs/>
      <w:kern w:val="36"/>
      <w:sz w:val="48"/>
      <w:szCs w:val="48"/>
    </w:rPr>
  </w:style>
  <w:style w:type="paragraph" w:customStyle="1" w:styleId="15">
    <w:name w:val="正文文本缩进1"/>
    <w:basedOn w:val="1"/>
    <w:autoRedefine/>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1643</Words>
  <Characters>1767</Characters>
  <Lines>17</Lines>
  <Paragraphs>4</Paragraphs>
  <TotalTime>21</TotalTime>
  <ScaleCrop>false</ScaleCrop>
  <LinksUpToDate>false</LinksUpToDate>
  <CharactersWithSpaces>2165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2024-05-13T06:56:22Z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04871E7F5CE94BEB9DE223AD1F1EB141</vt:lpwstr>
  </property>
</Properties>
</file>